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D17" w:rsidRPr="00144BD9" w:rsidRDefault="00F61D17">
      <w:pPr>
        <w:numPr>
          <w:ilvl w:val="1"/>
          <w:numId w:val="1"/>
        </w:numPr>
        <w:tabs>
          <w:tab w:val="clear" w:pos="840"/>
          <w:tab w:val="num" w:pos="567"/>
          <w:tab w:val="right" w:pos="9240"/>
        </w:tabs>
        <w:adjustRightInd w:val="0"/>
        <w:snapToGrid w:val="0"/>
        <w:spacing w:before="60" w:after="60"/>
        <w:ind w:left="567" w:hanging="567"/>
        <w:jc w:val="both"/>
        <w:rPr>
          <w:rFonts w:ascii="Arial" w:hAnsi="Arial" w:cs="Arial"/>
          <w:b/>
          <w:bCs/>
          <w:color w:val="000000"/>
          <w:szCs w:val="24"/>
        </w:rPr>
      </w:pPr>
      <w:r w:rsidRPr="00144BD9">
        <w:rPr>
          <w:rFonts w:ascii="Arial" w:hAnsi="Arial" w:cs="Arial" w:hint="eastAsia"/>
          <w:b/>
          <w:bCs/>
          <w:color w:val="000000"/>
          <w:szCs w:val="24"/>
        </w:rPr>
        <w:t>技术特点</w:t>
      </w:r>
    </w:p>
    <w:tbl>
      <w:tblPr>
        <w:tblStyle w:val="a5"/>
        <w:tblW w:w="9287" w:type="dxa"/>
        <w:tblCellMar>
          <w:top w:w="28" w:type="dxa"/>
          <w:bottom w:w="28" w:type="dxa"/>
        </w:tblCellMar>
        <w:tblLook w:val="01E0" w:firstRow="1" w:lastRow="1" w:firstColumn="1" w:lastColumn="1" w:noHBand="0" w:noVBand="0"/>
      </w:tblPr>
      <w:tblGrid>
        <w:gridCol w:w="738"/>
        <w:gridCol w:w="1680"/>
        <w:gridCol w:w="6869"/>
      </w:tblGrid>
      <w:tr w:rsidR="00F61D17" w:rsidTr="00144BD9">
        <w:tc>
          <w:tcPr>
            <w:tcW w:w="738" w:type="dxa"/>
            <w:vAlign w:val="center"/>
          </w:tcPr>
          <w:p w:rsidR="00F61D17" w:rsidRDefault="00F61D17">
            <w:pPr>
              <w:pStyle w:val="a6"/>
              <w:spacing w:line="240" w:lineRule="auto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序号</w:t>
            </w:r>
          </w:p>
        </w:tc>
        <w:tc>
          <w:tcPr>
            <w:tcW w:w="1680" w:type="dxa"/>
            <w:vAlign w:val="center"/>
          </w:tcPr>
          <w:p w:rsidR="00F61D17" w:rsidRDefault="00F61D17">
            <w:pPr>
              <w:pStyle w:val="a6"/>
              <w:spacing w:line="240" w:lineRule="auto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项目</w:t>
            </w:r>
          </w:p>
        </w:tc>
        <w:tc>
          <w:tcPr>
            <w:tcW w:w="6869" w:type="dxa"/>
            <w:vAlign w:val="center"/>
          </w:tcPr>
          <w:p w:rsidR="00F61D17" w:rsidRDefault="00F61D17">
            <w:pPr>
              <w:pStyle w:val="a6"/>
              <w:spacing w:line="240" w:lineRule="auto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简</w:t>
            </w:r>
            <w:r>
              <w:rPr>
                <w:rFonts w:hint="eastAsia"/>
                <w:b/>
                <w:sz w:val="21"/>
              </w:rPr>
              <w:t xml:space="preserve">  </w:t>
            </w:r>
            <w:r>
              <w:rPr>
                <w:rFonts w:hint="eastAsia"/>
                <w:b/>
                <w:sz w:val="21"/>
              </w:rPr>
              <w:t>述</w:t>
            </w:r>
          </w:p>
        </w:tc>
      </w:tr>
      <w:tr w:rsidR="00F61D17" w:rsidTr="00144BD9">
        <w:tc>
          <w:tcPr>
            <w:tcW w:w="738" w:type="dxa"/>
            <w:vAlign w:val="center"/>
          </w:tcPr>
          <w:p w:rsidR="00F61D17" w:rsidRDefault="00F61D17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</w:p>
        </w:tc>
        <w:tc>
          <w:tcPr>
            <w:tcW w:w="1680" w:type="dxa"/>
            <w:vAlign w:val="center"/>
          </w:tcPr>
          <w:p w:rsidR="00F61D17" w:rsidRDefault="00F61D17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主机系统</w:t>
            </w:r>
          </w:p>
        </w:tc>
        <w:tc>
          <w:tcPr>
            <w:tcW w:w="6869" w:type="dxa"/>
            <w:vAlign w:val="center"/>
          </w:tcPr>
          <w:p w:rsidR="00F61D17" w:rsidRDefault="00631BFA">
            <w:pPr>
              <w:pStyle w:val="a6"/>
              <w:spacing w:line="240" w:lineRule="auto"/>
              <w:jc w:val="both"/>
              <w:rPr>
                <w:sz w:val="21"/>
              </w:rPr>
            </w:pPr>
            <w:r w:rsidRPr="00631BFA">
              <w:rPr>
                <w:rFonts w:hint="eastAsia"/>
                <w:sz w:val="21"/>
              </w:rPr>
              <w:t>纯数字技术的</w:t>
            </w:r>
            <w:r w:rsidRPr="00631BFA">
              <w:rPr>
                <w:rFonts w:hint="eastAsia"/>
                <w:sz w:val="21"/>
              </w:rPr>
              <w:t>F6150</w:t>
            </w:r>
            <w:r w:rsidRPr="00631BFA">
              <w:rPr>
                <w:rFonts w:hint="eastAsia"/>
                <w:sz w:val="21"/>
              </w:rPr>
              <w:t>具有设备低层驱动的刷新功能（类似微机底板</w:t>
            </w:r>
            <w:r w:rsidRPr="00631BFA">
              <w:rPr>
                <w:rFonts w:hint="eastAsia"/>
                <w:sz w:val="21"/>
              </w:rPr>
              <w:t>BIOS</w:t>
            </w:r>
            <w:r w:rsidRPr="00631BFA">
              <w:rPr>
                <w:rFonts w:hint="eastAsia"/>
                <w:sz w:val="21"/>
              </w:rPr>
              <w:t>刷新），用户无需额外费用将得到</w:t>
            </w:r>
            <w:r w:rsidRPr="00631BFA">
              <w:rPr>
                <w:rFonts w:hint="eastAsia"/>
                <w:sz w:val="21"/>
              </w:rPr>
              <w:t>DOBLE</w:t>
            </w:r>
            <w:r w:rsidRPr="00631BFA">
              <w:rPr>
                <w:rFonts w:hint="eastAsia"/>
                <w:sz w:val="21"/>
              </w:rPr>
              <w:t>公司新增的设备测试功能的升级、扩展，相应配套的测试软件升级也将大大增强仪器的功能，保护客户投资。</w:t>
            </w:r>
          </w:p>
        </w:tc>
      </w:tr>
      <w:tr w:rsidR="00F61D17" w:rsidTr="00144BD9">
        <w:tc>
          <w:tcPr>
            <w:tcW w:w="738" w:type="dxa"/>
            <w:vAlign w:val="center"/>
          </w:tcPr>
          <w:p w:rsidR="00F61D17" w:rsidRDefault="00F61D17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</w:p>
        </w:tc>
        <w:tc>
          <w:tcPr>
            <w:tcW w:w="1680" w:type="dxa"/>
            <w:vAlign w:val="center"/>
          </w:tcPr>
          <w:p w:rsidR="00F61D17" w:rsidRDefault="00F61D17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自动测试类型众多，可灵活自定义，满足特殊需求</w:t>
            </w:r>
          </w:p>
        </w:tc>
        <w:tc>
          <w:tcPr>
            <w:tcW w:w="6869" w:type="dxa"/>
            <w:vAlign w:val="center"/>
          </w:tcPr>
          <w:p w:rsidR="00F61D17" w:rsidRDefault="00F61D17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可进行三相</w:t>
            </w:r>
            <w:r>
              <w:rPr>
                <w:rFonts w:hint="eastAsia"/>
                <w:sz w:val="21"/>
              </w:rPr>
              <w:t>6</w:t>
            </w:r>
            <w:r>
              <w:rPr>
                <w:rFonts w:hint="eastAsia"/>
                <w:sz w:val="21"/>
              </w:rPr>
              <w:t>断口断路器的跳闸、合闸、重合、自由脱扣、分</w:t>
            </w:r>
            <w:r>
              <w:rPr>
                <w:rFonts w:hint="eastAsia"/>
                <w:sz w:val="21"/>
              </w:rPr>
              <w:t>-</w:t>
            </w:r>
            <w:r>
              <w:rPr>
                <w:rFonts w:hint="eastAsia"/>
                <w:sz w:val="21"/>
              </w:rPr>
              <w:t>合</w:t>
            </w:r>
            <w:r>
              <w:rPr>
                <w:rFonts w:hint="eastAsia"/>
                <w:sz w:val="21"/>
              </w:rPr>
              <w:t>-</w:t>
            </w:r>
            <w:r>
              <w:rPr>
                <w:rFonts w:hint="eastAsia"/>
                <w:sz w:val="21"/>
              </w:rPr>
              <w:t>分及自定义操作，可测量分、合闸线圈电流，断路器分、合闸时间及主触头同期性、测量断路器合闸电阻及辅触头时间，测量断路器的机械行程、超行程、反弹行程、压缩行程，刚分、刚合速度，及自定义速度测量，并完整地记录以上各量的波形。自动填写试验报告，并自动地判断断路器的试验结果。本机对测量断路器的各阶段的速度具有灵活的自定义功能，对用户断路器的任何阶段的瞬时速度、平均速度均可自动测量，完全满足国内对断路器测量的各项规程规范。</w:t>
            </w:r>
          </w:p>
        </w:tc>
      </w:tr>
      <w:tr w:rsidR="00144BD9" w:rsidTr="00144BD9">
        <w:tc>
          <w:tcPr>
            <w:tcW w:w="738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</w:p>
        </w:tc>
        <w:tc>
          <w:tcPr>
            <w:tcW w:w="1680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高速检测</w:t>
            </w:r>
          </w:p>
        </w:tc>
        <w:tc>
          <w:tcPr>
            <w:tcW w:w="6869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由于</w:t>
            </w:r>
            <w:r>
              <w:rPr>
                <w:sz w:val="21"/>
              </w:rPr>
              <w:t>真空断路器</w:t>
            </w:r>
            <w:r>
              <w:rPr>
                <w:rFonts w:hint="eastAsia"/>
                <w:sz w:val="21"/>
              </w:rPr>
              <w:t>的</w:t>
            </w:r>
            <w:r>
              <w:rPr>
                <w:sz w:val="21"/>
              </w:rPr>
              <w:t>弹跳将会产生</w:t>
            </w:r>
            <w:r>
              <w:rPr>
                <w:rFonts w:hint="eastAsia"/>
                <w:sz w:val="21"/>
              </w:rPr>
              <w:t>严重</w:t>
            </w:r>
            <w:r>
              <w:rPr>
                <w:sz w:val="21"/>
              </w:rPr>
              <w:t>的过电压，危及</w:t>
            </w:r>
            <w:r>
              <w:rPr>
                <w:rFonts w:hint="eastAsia"/>
                <w:sz w:val="21"/>
              </w:rPr>
              <w:t>出线</w:t>
            </w:r>
            <w:r>
              <w:rPr>
                <w:sz w:val="21"/>
              </w:rPr>
              <w:t>电缆</w:t>
            </w:r>
            <w:r>
              <w:rPr>
                <w:rFonts w:hint="eastAsia"/>
                <w:sz w:val="21"/>
              </w:rPr>
              <w:t>和负债</w:t>
            </w:r>
            <w:r>
              <w:rPr>
                <w:sz w:val="21"/>
              </w:rPr>
              <w:t>的绝缘安全，</w:t>
            </w:r>
            <w:r>
              <w:rPr>
                <w:sz w:val="21"/>
              </w:rPr>
              <w:t>TDR9100</w:t>
            </w:r>
            <w:r>
              <w:rPr>
                <w:rFonts w:hint="eastAsia"/>
                <w:sz w:val="21"/>
              </w:rPr>
              <w:t>具备</w:t>
            </w:r>
            <w:r>
              <w:rPr>
                <w:sz w:val="21"/>
              </w:rPr>
              <w:t>触头</w:t>
            </w:r>
            <w:r>
              <w:rPr>
                <w:sz w:val="21"/>
              </w:rPr>
              <w:t>高速数字检测功能，</w:t>
            </w:r>
            <w:r>
              <w:rPr>
                <w:rFonts w:hint="eastAsia"/>
                <w:sz w:val="21"/>
              </w:rPr>
              <w:t>能清晰</w:t>
            </w:r>
            <w:r>
              <w:rPr>
                <w:sz w:val="21"/>
              </w:rPr>
              <w:t>地检测到真空断路器的触头弹跳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避免缺陷断路器</w:t>
            </w:r>
            <w:r>
              <w:rPr>
                <w:rFonts w:hint="eastAsia"/>
                <w:sz w:val="21"/>
              </w:rPr>
              <w:t>投运</w:t>
            </w:r>
            <w:r>
              <w:rPr>
                <w:sz w:val="21"/>
              </w:rPr>
              <w:t>。</w:t>
            </w:r>
            <w:bookmarkStart w:id="0" w:name="_GoBack"/>
            <w:bookmarkEnd w:id="0"/>
          </w:p>
        </w:tc>
      </w:tr>
      <w:tr w:rsidR="00144BD9" w:rsidTr="00144BD9">
        <w:tc>
          <w:tcPr>
            <w:tcW w:w="738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4</w:t>
            </w:r>
          </w:p>
        </w:tc>
        <w:tc>
          <w:tcPr>
            <w:tcW w:w="1680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特殊测试</w:t>
            </w:r>
          </w:p>
        </w:tc>
        <w:tc>
          <w:tcPr>
            <w:tcW w:w="6869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本机具备主触头和合闸电阻触头动作时间同步测量功能、并能同时测量合闸电阻的阻值，提高测量工效，无需拆开辅助触头，多参数测量一起完成。具有测量断路器跳合闸线圈电流在何值断路器开始动作。</w:t>
            </w:r>
          </w:p>
        </w:tc>
      </w:tr>
      <w:tr w:rsidR="00144BD9" w:rsidTr="00144BD9">
        <w:tc>
          <w:tcPr>
            <w:tcW w:w="738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5</w:t>
            </w:r>
          </w:p>
        </w:tc>
        <w:tc>
          <w:tcPr>
            <w:tcW w:w="1680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行程传感器</w:t>
            </w:r>
          </w:p>
        </w:tc>
        <w:tc>
          <w:tcPr>
            <w:tcW w:w="6869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采用数字式</w:t>
            </w:r>
            <w:r>
              <w:rPr>
                <w:sz w:val="21"/>
              </w:rPr>
              <w:t>、</w:t>
            </w:r>
            <w:r>
              <w:rPr>
                <w:rFonts w:hint="eastAsia"/>
                <w:sz w:val="21"/>
              </w:rPr>
              <w:t>旋转直线合一行程传感器，和电阻型模拟式传感器相比具有无磨损误差、无附加的固有误差、高抗干扰、高精度（</w:t>
            </w:r>
            <w:r>
              <w:rPr>
                <w:rFonts w:hint="eastAsia"/>
                <w:sz w:val="21"/>
              </w:rPr>
              <w:t>0</w:t>
            </w:r>
            <w:r>
              <w:rPr>
                <w:sz w:val="21"/>
              </w:rPr>
              <w:t>.</w:t>
            </w:r>
            <w:r>
              <w:rPr>
                <w:rFonts w:hint="eastAsia"/>
                <w:sz w:val="21"/>
              </w:rPr>
              <w:t>03</w:t>
            </w:r>
            <w:r>
              <w:rPr>
                <w:sz w:val="21"/>
              </w:rPr>
              <w:t>mm</w:t>
            </w:r>
            <w:r>
              <w:rPr>
                <w:rFonts w:hint="eastAsia"/>
                <w:sz w:val="21"/>
              </w:rPr>
              <w:t>）、对保管无特殊要求。最大测量加速度高达</w:t>
            </w:r>
            <w:r>
              <w:rPr>
                <w:rFonts w:hint="eastAsia"/>
                <w:sz w:val="21"/>
              </w:rPr>
              <w:t>1200g</w:t>
            </w:r>
            <w:r>
              <w:rPr>
                <w:rFonts w:hint="eastAsia"/>
                <w:sz w:val="21"/>
              </w:rPr>
              <w:t>，完全杜绝了普通传感器的行程传递滑动，测量精确。</w:t>
            </w:r>
          </w:p>
        </w:tc>
      </w:tr>
      <w:tr w:rsidR="00144BD9" w:rsidTr="00144BD9">
        <w:tc>
          <w:tcPr>
            <w:tcW w:w="738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6</w:t>
            </w:r>
          </w:p>
        </w:tc>
        <w:tc>
          <w:tcPr>
            <w:tcW w:w="1680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专用测试电缆</w:t>
            </w:r>
          </w:p>
        </w:tc>
        <w:tc>
          <w:tcPr>
            <w:tcW w:w="6869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本机的试验接线均为含精密数字滤波、屏蔽的专用测试电缆（非其他断路器测试设备的普通软线加香蕉插头），满足</w:t>
            </w:r>
            <w:r>
              <w:rPr>
                <w:rFonts w:hint="eastAsia"/>
                <w:sz w:val="21"/>
              </w:rPr>
              <w:t>220KV</w:t>
            </w:r>
            <w:r>
              <w:rPr>
                <w:rFonts w:hint="eastAsia"/>
                <w:sz w:val="21"/>
              </w:rPr>
              <w:t>、</w:t>
            </w:r>
            <w:r>
              <w:rPr>
                <w:rFonts w:hint="eastAsia"/>
                <w:sz w:val="21"/>
              </w:rPr>
              <w:t>1000KV</w:t>
            </w:r>
            <w:r>
              <w:rPr>
                <w:rFonts w:hint="eastAsia"/>
                <w:sz w:val="21"/>
              </w:rPr>
              <w:t>测试现场要求，在高干扰环境下均能有效、正确的测量。</w:t>
            </w:r>
          </w:p>
        </w:tc>
      </w:tr>
      <w:tr w:rsidR="00144BD9" w:rsidTr="00144BD9">
        <w:tc>
          <w:tcPr>
            <w:tcW w:w="738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7</w:t>
            </w:r>
          </w:p>
        </w:tc>
        <w:tc>
          <w:tcPr>
            <w:tcW w:w="1680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被测试断路器类型</w:t>
            </w:r>
          </w:p>
        </w:tc>
        <w:tc>
          <w:tcPr>
            <w:tcW w:w="6869" w:type="dxa"/>
            <w:vAlign w:val="center"/>
          </w:tcPr>
          <w:p w:rsidR="00144BD9" w:rsidRDefault="00144BD9" w:rsidP="00144BD9">
            <w:pPr>
              <w:pStyle w:val="a6"/>
              <w:spacing w:line="240" w:lineRule="auto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记录时间为</w:t>
            </w:r>
            <w:r>
              <w:rPr>
                <w:rFonts w:hint="eastAsia"/>
                <w:sz w:val="21"/>
              </w:rPr>
              <w:t>0.6</w:t>
            </w:r>
            <w:r>
              <w:rPr>
                <w:rFonts w:hint="eastAsia"/>
                <w:sz w:val="21"/>
              </w:rPr>
              <w:t>秒～</w:t>
            </w:r>
            <w:r>
              <w:rPr>
                <w:rFonts w:hint="eastAsia"/>
                <w:sz w:val="21"/>
              </w:rPr>
              <w:t>20</w:t>
            </w:r>
            <w:r>
              <w:rPr>
                <w:rFonts w:hint="eastAsia"/>
                <w:sz w:val="21"/>
              </w:rPr>
              <w:t>分钟，可测量小型真空断路器直至</w:t>
            </w:r>
            <w:r>
              <w:rPr>
                <w:rFonts w:hint="eastAsia"/>
                <w:sz w:val="21"/>
              </w:rPr>
              <w:t>500kv</w:t>
            </w:r>
            <w:r>
              <w:rPr>
                <w:rFonts w:hint="eastAsia"/>
                <w:sz w:val="21"/>
              </w:rPr>
              <w:t>断路器、</w:t>
            </w:r>
            <w:r>
              <w:rPr>
                <w:rFonts w:hint="eastAsia"/>
                <w:sz w:val="21"/>
              </w:rPr>
              <w:t>500KV GIS</w:t>
            </w:r>
            <w:r>
              <w:rPr>
                <w:rFonts w:hint="eastAsia"/>
                <w:sz w:val="21"/>
              </w:rPr>
              <w:t>装置，电动刀闸，主触头的数字采样频率高达</w:t>
            </w:r>
            <w:r>
              <w:rPr>
                <w:rFonts w:hint="eastAsia"/>
                <w:sz w:val="21"/>
              </w:rPr>
              <w:t>500KHz</w:t>
            </w:r>
            <w:r>
              <w:rPr>
                <w:rFonts w:hint="eastAsia"/>
                <w:sz w:val="21"/>
              </w:rPr>
              <w:t>，可分辨</w:t>
            </w:r>
            <w:r>
              <w:rPr>
                <w:rFonts w:hint="eastAsia"/>
                <w:sz w:val="21"/>
              </w:rPr>
              <w:t>2</w:t>
            </w:r>
            <w:r>
              <w:rPr>
                <w:rFonts w:hint="eastAsia"/>
                <w:sz w:val="21"/>
              </w:rPr>
              <w:t>微妙的真空断路器断口弹跳。</w:t>
            </w:r>
          </w:p>
        </w:tc>
      </w:tr>
    </w:tbl>
    <w:p w:rsidR="00F61D17" w:rsidRDefault="00F61D17">
      <w:pPr>
        <w:rPr>
          <w:sz w:val="10"/>
          <w:szCs w:val="10"/>
        </w:rPr>
      </w:pPr>
    </w:p>
    <w:p w:rsidR="00F61D17" w:rsidRDefault="00F61D17">
      <w:pPr>
        <w:rPr>
          <w:sz w:val="10"/>
          <w:szCs w:val="10"/>
        </w:rPr>
      </w:pPr>
    </w:p>
    <w:p w:rsidR="00F61D17" w:rsidRDefault="00F61D17">
      <w:pPr>
        <w:rPr>
          <w:sz w:val="10"/>
          <w:szCs w:val="10"/>
        </w:rPr>
      </w:pPr>
    </w:p>
    <w:p w:rsidR="00F61D17" w:rsidRDefault="00F61D17">
      <w:pPr>
        <w:rPr>
          <w:sz w:val="10"/>
          <w:szCs w:val="10"/>
        </w:rPr>
      </w:pPr>
    </w:p>
    <w:p w:rsidR="00F61D17" w:rsidRDefault="00F61D17">
      <w:pPr>
        <w:rPr>
          <w:sz w:val="10"/>
          <w:szCs w:val="10"/>
        </w:rPr>
      </w:pPr>
    </w:p>
    <w:sectPr w:rsidR="00F61D17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1560" w:right="1021" w:bottom="1474" w:left="1588" w:header="737" w:footer="73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83D" w:rsidRDefault="004F583D">
      <w:r>
        <w:separator/>
      </w:r>
    </w:p>
  </w:endnote>
  <w:endnote w:type="continuationSeparator" w:id="0">
    <w:p w:rsidR="004F583D" w:rsidRDefault="004F5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LogoFont">
    <w:panose1 w:val="00000000000000000000"/>
    <w:charset w:val="02"/>
    <w:family w:val="decorative"/>
    <w:notTrueType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1D17" w:rsidRDefault="00F61D17">
    <w:pPr>
      <w:tabs>
        <w:tab w:val="right" w:pos="9600"/>
      </w:tabs>
      <w:adjustRightInd w:val="0"/>
      <w:snapToGrid w:val="0"/>
      <w:spacing w:after="40"/>
      <w:jc w:val="right"/>
      <w:rPr>
        <w:rFonts w:ascii="宋体" w:hAnsi="宋体"/>
        <w:b/>
        <w:bCs/>
        <w:sz w:val="15"/>
        <w:szCs w:val="15"/>
      </w:rPr>
    </w:pPr>
    <w:r>
      <w:rPr>
        <w:rFonts w:ascii="宋体" w:hAnsi="宋体" w:hint="eastAsia"/>
        <w:b/>
        <w:bCs/>
        <w:sz w:val="15"/>
        <w:szCs w:val="15"/>
      </w:rPr>
      <w:t>第</w:t>
    </w:r>
    <w:r>
      <w:rPr>
        <w:rFonts w:ascii="宋体" w:hAnsi="宋体"/>
        <w:b/>
        <w:bCs/>
        <w:sz w:val="15"/>
        <w:szCs w:val="15"/>
      </w:rPr>
      <w:fldChar w:fldCharType="begin"/>
    </w:r>
    <w:r>
      <w:rPr>
        <w:rFonts w:ascii="宋体" w:hAnsi="宋体"/>
        <w:b/>
        <w:bCs/>
        <w:sz w:val="15"/>
        <w:szCs w:val="15"/>
      </w:rPr>
      <w:instrText xml:space="preserve"> PAGE  \* Arabic  \* MERGEFORMAT </w:instrText>
    </w:r>
    <w:r>
      <w:rPr>
        <w:rFonts w:ascii="宋体" w:hAnsi="宋体"/>
        <w:b/>
        <w:bCs/>
        <w:sz w:val="15"/>
        <w:szCs w:val="15"/>
      </w:rPr>
      <w:fldChar w:fldCharType="separate"/>
    </w:r>
    <w:r w:rsidR="00144BD9">
      <w:rPr>
        <w:rFonts w:ascii="宋体" w:hAnsi="宋体"/>
        <w:b/>
        <w:bCs/>
        <w:noProof/>
        <w:sz w:val="15"/>
        <w:szCs w:val="15"/>
      </w:rPr>
      <w:t>1</w:t>
    </w:r>
    <w:r>
      <w:rPr>
        <w:rFonts w:ascii="宋体" w:hAnsi="宋体"/>
        <w:b/>
        <w:bCs/>
        <w:sz w:val="15"/>
        <w:szCs w:val="15"/>
      </w:rPr>
      <w:fldChar w:fldCharType="end"/>
    </w:r>
    <w:r>
      <w:rPr>
        <w:rFonts w:ascii="宋体" w:hAnsi="宋体" w:hint="eastAsia"/>
        <w:b/>
        <w:bCs/>
        <w:sz w:val="15"/>
        <w:szCs w:val="15"/>
      </w:rPr>
      <w:t>页 共</w:t>
    </w:r>
    <w:r>
      <w:rPr>
        <w:rFonts w:ascii="宋体" w:hAnsi="宋体"/>
        <w:b/>
        <w:bCs/>
        <w:sz w:val="15"/>
        <w:szCs w:val="15"/>
      </w:rPr>
      <w:fldChar w:fldCharType="begin"/>
    </w:r>
    <w:r>
      <w:rPr>
        <w:rFonts w:ascii="宋体" w:hAnsi="宋体"/>
        <w:b/>
        <w:bCs/>
        <w:sz w:val="15"/>
        <w:szCs w:val="15"/>
      </w:rPr>
      <w:instrText xml:space="preserve"> NUMPAGES  \* Arabic  \* MERGEFORMAT </w:instrText>
    </w:r>
    <w:r>
      <w:rPr>
        <w:rFonts w:ascii="宋体" w:hAnsi="宋体"/>
        <w:b/>
        <w:bCs/>
        <w:sz w:val="15"/>
        <w:szCs w:val="15"/>
      </w:rPr>
      <w:fldChar w:fldCharType="separate"/>
    </w:r>
    <w:r w:rsidR="00144BD9">
      <w:rPr>
        <w:rFonts w:ascii="宋体" w:hAnsi="宋体"/>
        <w:b/>
        <w:bCs/>
        <w:noProof/>
        <w:sz w:val="15"/>
        <w:szCs w:val="15"/>
      </w:rPr>
      <w:t>1</w:t>
    </w:r>
    <w:r>
      <w:rPr>
        <w:rFonts w:ascii="宋体" w:hAnsi="宋体"/>
        <w:b/>
        <w:bCs/>
        <w:sz w:val="15"/>
        <w:szCs w:val="15"/>
      </w:rPr>
      <w:fldChar w:fldCharType="end"/>
    </w:r>
    <w:r>
      <w:rPr>
        <w:rFonts w:ascii="宋体" w:hAnsi="宋体" w:hint="eastAsia"/>
        <w:b/>
        <w:bCs/>
        <w:sz w:val="15"/>
        <w:szCs w:val="15"/>
      </w:rPr>
      <w:t>页</w:t>
    </w:r>
  </w:p>
  <w:p w:rsidR="00F61D17" w:rsidRDefault="00F61D17">
    <w:pPr>
      <w:pBdr>
        <w:top w:val="single" w:sz="8" w:space="1" w:color="FF0000"/>
      </w:pBdr>
      <w:tabs>
        <w:tab w:val="right" w:pos="9240"/>
      </w:tabs>
      <w:adjustRightInd w:val="0"/>
      <w:snapToGrid w:val="0"/>
      <w:rPr>
        <w:rFonts w:ascii="宋体" w:hAnsi="宋体"/>
        <w:b/>
        <w:bCs/>
        <w:sz w:val="18"/>
        <w:szCs w:val="18"/>
      </w:rPr>
    </w:pPr>
    <w:r>
      <w:rPr>
        <w:rFonts w:ascii="宋体" w:hAnsi="宋体" w:hint="eastAsia"/>
        <w:b/>
        <w:bCs/>
        <w:sz w:val="18"/>
        <w:szCs w:val="18"/>
      </w:rPr>
      <w:t>上海</w:t>
    </w:r>
    <w:r w:rsidR="00144BD9">
      <w:rPr>
        <w:rFonts w:ascii="宋体" w:hAnsi="宋体" w:hint="eastAsia"/>
        <w:b/>
        <w:bCs/>
        <w:sz w:val="18"/>
        <w:szCs w:val="18"/>
      </w:rPr>
      <w:t>卓道电力</w:t>
    </w:r>
    <w:r w:rsidR="00144BD9">
      <w:rPr>
        <w:rFonts w:ascii="宋体" w:hAnsi="宋体"/>
        <w:b/>
        <w:bCs/>
        <w:sz w:val="18"/>
        <w:szCs w:val="18"/>
      </w:rPr>
      <w:t>设备</w:t>
    </w:r>
    <w:r>
      <w:rPr>
        <w:rFonts w:ascii="宋体" w:hAnsi="宋体" w:hint="eastAsia"/>
        <w:b/>
        <w:bCs/>
        <w:sz w:val="18"/>
        <w:szCs w:val="18"/>
      </w:rPr>
      <w:t>有限公司：</w:t>
    </w:r>
    <w:r>
      <w:rPr>
        <w:rFonts w:ascii="宋体" w:hAnsi="宋体" w:hint="eastAsia"/>
        <w:b/>
        <w:bCs/>
        <w:sz w:val="18"/>
        <w:szCs w:val="18"/>
      </w:rPr>
      <w:tab/>
      <w:t>美国 DOBLE 公司 中国特约经销商</w:t>
    </w:r>
  </w:p>
  <w:p w:rsidR="00F61D17" w:rsidRDefault="00F61D17">
    <w:pPr>
      <w:pBdr>
        <w:top w:val="single" w:sz="8" w:space="1" w:color="FF0000"/>
      </w:pBdr>
      <w:tabs>
        <w:tab w:val="right" w:pos="9240"/>
      </w:tabs>
      <w:adjustRightInd w:val="0"/>
      <w:snapToGrid w:val="0"/>
      <w:rPr>
        <w:sz w:val="18"/>
        <w:szCs w:val="18"/>
      </w:rPr>
    </w:pPr>
    <w:r>
      <w:rPr>
        <w:rFonts w:hint="eastAsia"/>
        <w:sz w:val="18"/>
        <w:szCs w:val="18"/>
      </w:rPr>
      <w:t>地址：上海市蒲汇塘路</w:t>
    </w:r>
    <w:r>
      <w:rPr>
        <w:rFonts w:hint="eastAsia"/>
        <w:sz w:val="18"/>
        <w:szCs w:val="18"/>
      </w:rPr>
      <w:t>158</w:t>
    </w:r>
    <w:r>
      <w:rPr>
        <w:rFonts w:hint="eastAsia"/>
        <w:sz w:val="18"/>
        <w:szCs w:val="18"/>
      </w:rPr>
      <w:t>号中南商务楼</w:t>
    </w:r>
    <w:r>
      <w:rPr>
        <w:rFonts w:hint="eastAsia"/>
        <w:sz w:val="18"/>
        <w:szCs w:val="18"/>
      </w:rPr>
      <w:t>503</w:t>
    </w:r>
    <w:r>
      <w:rPr>
        <w:rFonts w:hint="eastAsia"/>
        <w:sz w:val="18"/>
        <w:szCs w:val="18"/>
      </w:rPr>
      <w:t>室</w:t>
    </w:r>
    <w:r>
      <w:rPr>
        <w:rFonts w:hint="eastAsia"/>
        <w:sz w:val="18"/>
        <w:szCs w:val="18"/>
      </w:rPr>
      <w:tab/>
    </w:r>
    <w:r>
      <w:rPr>
        <w:rFonts w:hint="eastAsia"/>
        <w:sz w:val="18"/>
        <w:szCs w:val="18"/>
      </w:rPr>
      <w:t>电话：</w:t>
    </w:r>
    <w:r>
      <w:rPr>
        <w:rFonts w:hint="eastAsia"/>
        <w:sz w:val="18"/>
        <w:szCs w:val="18"/>
      </w:rPr>
      <w:t>021-64688851  13918183625</w:t>
    </w:r>
    <w:r>
      <w:rPr>
        <w:rFonts w:hint="eastAsia"/>
        <w:sz w:val="18"/>
        <w:szCs w:val="18"/>
      </w:rPr>
      <w:t>，传真：</w:t>
    </w:r>
    <w:r>
      <w:rPr>
        <w:sz w:val="18"/>
        <w:szCs w:val="18"/>
      </w:rPr>
      <w:t>021-</w:t>
    </w:r>
    <w:r>
      <w:rPr>
        <w:rFonts w:hint="eastAsia"/>
        <w:sz w:val="18"/>
        <w:szCs w:val="18"/>
      </w:rPr>
      <w:t>64688853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1D17" w:rsidRDefault="00F61D17">
    <w:pPr>
      <w:pStyle w:val="a4"/>
      <w:tabs>
        <w:tab w:val="left" w:pos="2880"/>
        <w:tab w:val="left" w:pos="6840"/>
      </w:tabs>
      <w:ind w:left="-540" w:right="-1260"/>
      <w:rPr>
        <w:sz w:val="18"/>
      </w:rPr>
    </w:pPr>
    <w:r>
      <w:rPr>
        <w:rFonts w:hint="eastAsia"/>
        <w:sz w:val="18"/>
      </w:rPr>
      <w:t>___________________________________________________________________________________________________________</w:t>
    </w:r>
  </w:p>
  <w:p w:rsidR="00F61D17" w:rsidRDefault="00F61D17">
    <w:pPr>
      <w:pStyle w:val="a4"/>
      <w:tabs>
        <w:tab w:val="left" w:pos="2880"/>
        <w:tab w:val="left" w:pos="6840"/>
      </w:tabs>
      <w:ind w:left="-540" w:right="-1260"/>
      <w:rPr>
        <w:sz w:val="18"/>
      </w:rPr>
    </w:pPr>
    <w:smartTag w:uri="urn:schemas-microsoft-com:office:smarttags" w:element="Street">
      <w:smartTag w:uri="urn:schemas-microsoft-com:office:smarttags" w:element="address">
        <w:r>
          <w:rPr>
            <w:sz w:val="18"/>
          </w:rPr>
          <w:t>250 W</w:t>
        </w:r>
        <w:r>
          <w:rPr>
            <w:b/>
            <w:sz w:val="18"/>
          </w:rPr>
          <w:t>.</w:t>
        </w:r>
        <w:r>
          <w:rPr>
            <w:sz w:val="18"/>
          </w:rPr>
          <w:t xml:space="preserve"> Lancaster Ave</w:t>
        </w:r>
        <w:r>
          <w:rPr>
            <w:b/>
            <w:sz w:val="18"/>
          </w:rPr>
          <w:t>.,</w:t>
        </w:r>
        <w:r>
          <w:rPr>
            <w:sz w:val="18"/>
          </w:rPr>
          <w:t xml:space="preserve"> Suite 190</w:t>
        </w:r>
      </w:smartTag>
    </w:smartTag>
    <w:r>
      <w:rPr>
        <w:sz w:val="18"/>
      </w:rPr>
      <w:tab/>
    </w:r>
    <w:smartTag w:uri="urn:schemas-microsoft-com:office:smarttags" w:element="PlaceName">
      <w:r>
        <w:rPr>
          <w:sz w:val="18"/>
        </w:rPr>
        <w:t>Parkson</w:t>
      </w:r>
    </w:smartTag>
    <w:r>
      <w:rPr>
        <w:sz w:val="18"/>
      </w:rPr>
      <w:t xml:space="preserve"> </w:t>
    </w:r>
    <w:smartTag w:uri="urn:schemas-microsoft-com:office:smarttags" w:element="PlaceType">
      <w:r>
        <w:rPr>
          <w:sz w:val="18"/>
        </w:rPr>
        <w:t>Plaza</w:t>
      </w:r>
    </w:smartTag>
    <w:r>
      <w:rPr>
        <w:sz w:val="18"/>
      </w:rPr>
      <w:t xml:space="preserve">, Room </w:t>
    </w:r>
    <w:smartTag w:uri="urn:schemas-microsoft-com:office:smarttags" w:element="chmetcnv">
      <w:smartTagPr>
        <w:attr w:name="TCSC" w:val="0"/>
        <w:attr w:name="NumberType" w:val="1"/>
        <w:attr w:name="Negative" w:val="False"/>
        <w:attr w:name="HasSpace" w:val="False"/>
        <w:attr w:name="SourceValue" w:val="7012"/>
        <w:attr w:name="UnitName" w:val="a"/>
      </w:smartTagPr>
      <w:r>
        <w:rPr>
          <w:rFonts w:hint="eastAsia"/>
          <w:sz w:val="18"/>
        </w:rPr>
        <w:t>7012A</w:t>
      </w:r>
    </w:smartTag>
    <w:r>
      <w:rPr>
        <w:sz w:val="18"/>
      </w:rPr>
      <w:tab/>
    </w:r>
    <w:smartTag w:uri="urn:schemas-microsoft-com:office:smarttags" w:element="place">
      <w:smartTag w:uri="urn:schemas-microsoft-com:office:smarttags" w:element="PlaceName">
        <w:r>
          <w:rPr>
            <w:sz w:val="18"/>
          </w:rPr>
          <w:t>Walton</w:t>
        </w:r>
      </w:smartTag>
      <w:r>
        <w:rPr>
          <w:sz w:val="18"/>
        </w:rPr>
        <w:t xml:space="preserve"> </w:t>
      </w:r>
      <w:smartTag w:uri="urn:schemas-microsoft-com:office:smarttags" w:element="PlaceType">
        <w:r>
          <w:rPr>
            <w:sz w:val="18"/>
          </w:rPr>
          <w:t>Plaza</w:t>
        </w:r>
      </w:smartTag>
    </w:smartTag>
    <w:r>
      <w:rPr>
        <w:b/>
        <w:sz w:val="18"/>
      </w:rPr>
      <w:t>,</w:t>
    </w:r>
    <w:r>
      <w:rPr>
        <w:sz w:val="18"/>
      </w:rPr>
      <w:t xml:space="preserve"> Room </w:t>
    </w:r>
    <w:r>
      <w:rPr>
        <w:rFonts w:hint="eastAsia"/>
        <w:sz w:val="18"/>
      </w:rPr>
      <w:t>601-</w:t>
    </w:r>
    <w:r>
      <w:rPr>
        <w:sz w:val="18"/>
      </w:rPr>
      <w:t>602</w:t>
    </w:r>
  </w:p>
  <w:p w:rsidR="00F61D17" w:rsidRDefault="00F61D17">
    <w:pPr>
      <w:pStyle w:val="a4"/>
      <w:tabs>
        <w:tab w:val="left" w:pos="2880"/>
        <w:tab w:val="left" w:pos="6840"/>
        <w:tab w:val="left" w:pos="7920"/>
      </w:tabs>
      <w:ind w:left="-540" w:right="-1260"/>
      <w:rPr>
        <w:sz w:val="18"/>
      </w:rPr>
    </w:pPr>
    <w:smartTag w:uri="urn:schemas-microsoft-com:office:smarttags" w:element="place">
      <w:smartTag w:uri="urn:schemas-microsoft-com:office:smarttags" w:element="City">
        <w:r>
          <w:rPr>
            <w:sz w:val="18"/>
          </w:rPr>
          <w:t>Paoli</w:t>
        </w:r>
      </w:smartTag>
      <w:r>
        <w:rPr>
          <w:b/>
          <w:sz w:val="18"/>
        </w:rPr>
        <w:t>,</w:t>
      </w:r>
      <w:r>
        <w:rPr>
          <w:sz w:val="18"/>
        </w:rPr>
        <w:t xml:space="preserve"> </w:t>
      </w:r>
      <w:smartTag w:uri="urn:schemas-microsoft-com:office:smarttags" w:element="State">
        <w:r>
          <w:rPr>
            <w:sz w:val="18"/>
          </w:rPr>
          <w:t>PA</w:t>
        </w:r>
      </w:smartTag>
      <w:r>
        <w:rPr>
          <w:sz w:val="18"/>
        </w:rPr>
        <w:t xml:space="preserve"> </w:t>
      </w:r>
      <w:smartTag w:uri="urn:schemas-microsoft-com:office:smarttags" w:element="PostalCode">
        <w:r>
          <w:rPr>
            <w:sz w:val="18"/>
          </w:rPr>
          <w:t>19301</w:t>
        </w:r>
      </w:smartTag>
    </w:smartTag>
    <w:r>
      <w:rPr>
        <w:sz w:val="18"/>
      </w:rPr>
      <w:tab/>
    </w:r>
    <w:r>
      <w:rPr>
        <w:rFonts w:hint="eastAsia"/>
        <w:sz w:val="18"/>
      </w:rPr>
      <w:t xml:space="preserve">37 Jin Rong Da Jie </w:t>
    </w:r>
    <w:r>
      <w:rPr>
        <w:sz w:val="18"/>
      </w:rPr>
      <w:tab/>
    </w:r>
    <w:r>
      <w:rPr>
        <w:rFonts w:hint="eastAsia"/>
        <w:sz w:val="18"/>
      </w:rPr>
      <w:tab/>
    </w:r>
    <w:r>
      <w:rPr>
        <w:sz w:val="18"/>
      </w:rPr>
      <w:t>801 Chang Le Road</w:t>
    </w:r>
  </w:p>
  <w:p w:rsidR="00F61D17" w:rsidRDefault="00F61D17">
    <w:pPr>
      <w:pStyle w:val="a4"/>
      <w:tabs>
        <w:tab w:val="left" w:pos="2880"/>
        <w:tab w:val="left" w:pos="6840"/>
        <w:tab w:val="left" w:pos="7920"/>
      </w:tabs>
      <w:ind w:left="-540" w:right="-1260"/>
      <w:rPr>
        <w:sz w:val="18"/>
      </w:rPr>
    </w:pPr>
    <w:smartTag w:uri="urn:schemas-microsoft-com:office:smarttags" w:element="country-region">
      <w:r>
        <w:rPr>
          <w:sz w:val="18"/>
        </w:rPr>
        <w:t>U</w:t>
      </w:r>
      <w:r>
        <w:rPr>
          <w:b/>
          <w:sz w:val="18"/>
        </w:rPr>
        <w:t>.</w:t>
      </w:r>
      <w:r>
        <w:rPr>
          <w:sz w:val="18"/>
        </w:rPr>
        <w:t>S</w:t>
      </w:r>
      <w:r>
        <w:rPr>
          <w:b/>
          <w:sz w:val="18"/>
        </w:rPr>
        <w:t>.</w:t>
      </w:r>
      <w:r>
        <w:rPr>
          <w:sz w:val="18"/>
        </w:rPr>
        <w:t>A</w:t>
      </w:r>
      <w:r>
        <w:rPr>
          <w:b/>
          <w:sz w:val="18"/>
        </w:rPr>
        <w:t>.</w:t>
      </w:r>
    </w:smartTag>
    <w:r>
      <w:rPr>
        <w:sz w:val="18"/>
      </w:rPr>
      <w:tab/>
    </w:r>
    <w:smartTag w:uri="urn:schemas-microsoft-com:office:smarttags" w:element="City">
      <w:r>
        <w:rPr>
          <w:sz w:val="18"/>
        </w:rPr>
        <w:t>Beijing</w:t>
      </w:r>
    </w:smartTag>
    <w:r>
      <w:rPr>
        <w:sz w:val="18"/>
      </w:rPr>
      <w:t xml:space="preserve"> 10</w:t>
    </w:r>
    <w:r>
      <w:rPr>
        <w:rFonts w:eastAsia="楷体" w:hint="eastAsia"/>
        <w:sz w:val="18"/>
      </w:rPr>
      <w:t>0</w:t>
    </w:r>
    <w:r>
      <w:rPr>
        <w:sz w:val="18"/>
      </w:rPr>
      <w:t>031</w:t>
    </w:r>
    <w:r>
      <w:rPr>
        <w:b/>
        <w:sz w:val="18"/>
      </w:rPr>
      <w:t>,</w:t>
    </w:r>
    <w:r>
      <w:rPr>
        <w:sz w:val="18"/>
      </w:rPr>
      <w:t xml:space="preserve"> </w:t>
    </w:r>
    <w:smartTag w:uri="urn:schemas-microsoft-com:office:smarttags" w:element="country-region">
      <w:r>
        <w:rPr>
          <w:sz w:val="18"/>
        </w:rPr>
        <w:t>China</w:t>
      </w:r>
    </w:smartTag>
    <w:r>
      <w:rPr>
        <w:sz w:val="18"/>
      </w:rPr>
      <w:tab/>
    </w:r>
    <w:smartTag w:uri="urn:schemas-microsoft-com:office:smarttags" w:element="City">
      <w:r>
        <w:rPr>
          <w:sz w:val="18"/>
        </w:rPr>
        <w:t>Shanghai</w:t>
      </w:r>
    </w:smartTag>
    <w:r>
      <w:rPr>
        <w:sz w:val="18"/>
      </w:rPr>
      <w:t xml:space="preserve"> 200031</w:t>
    </w:r>
    <w:r>
      <w:rPr>
        <w:b/>
        <w:sz w:val="18"/>
      </w:rPr>
      <w:t>,</w:t>
    </w:r>
    <w:r>
      <w:rPr>
        <w:sz w:val="18"/>
      </w:rPr>
      <w:t xml:space="preserve"> </w:t>
    </w:r>
    <w:smartTag w:uri="urn:schemas-microsoft-com:office:smarttags" w:element="place">
      <w:smartTag w:uri="urn:schemas-microsoft-com:office:smarttags" w:element="country-region">
        <w:r>
          <w:rPr>
            <w:sz w:val="18"/>
          </w:rPr>
          <w:t>China</w:t>
        </w:r>
      </w:smartTag>
    </w:smartTag>
  </w:p>
  <w:p w:rsidR="00F61D17" w:rsidRDefault="00F61D17">
    <w:pPr>
      <w:pStyle w:val="a4"/>
      <w:tabs>
        <w:tab w:val="left" w:pos="2880"/>
        <w:tab w:val="left" w:pos="6840"/>
        <w:tab w:val="left" w:pos="7920"/>
      </w:tabs>
      <w:ind w:left="-540" w:right="-1260"/>
      <w:rPr>
        <w:sz w:val="18"/>
      </w:rPr>
    </w:pPr>
    <w:r>
      <w:rPr>
        <w:sz w:val="18"/>
      </w:rPr>
      <w:t>Tel</w:t>
    </w:r>
    <w:r>
      <w:rPr>
        <w:b/>
        <w:sz w:val="18"/>
      </w:rPr>
      <w:t>:</w:t>
    </w:r>
    <w:r>
      <w:rPr>
        <w:sz w:val="18"/>
      </w:rPr>
      <w:t xml:space="preserve"> 610-296-0888</w:t>
    </w:r>
    <w:r>
      <w:rPr>
        <w:sz w:val="18"/>
      </w:rPr>
      <w:tab/>
      <w:t>Tel</w:t>
    </w:r>
    <w:r>
      <w:rPr>
        <w:b/>
        <w:sz w:val="18"/>
      </w:rPr>
      <w:t>:</w:t>
    </w:r>
    <w:r>
      <w:rPr>
        <w:sz w:val="18"/>
      </w:rPr>
      <w:t xml:space="preserve"> 010-6607-3581/6607 3582</w:t>
    </w:r>
    <w:r>
      <w:rPr>
        <w:sz w:val="18"/>
      </w:rPr>
      <w:tab/>
      <w:t>Tel</w:t>
    </w:r>
    <w:r>
      <w:rPr>
        <w:b/>
        <w:sz w:val="18"/>
      </w:rPr>
      <w:t>:</w:t>
    </w:r>
    <w:r>
      <w:rPr>
        <w:sz w:val="18"/>
      </w:rPr>
      <w:t xml:space="preserve"> 021-6466-6033/6473-0202</w:t>
    </w:r>
  </w:p>
  <w:p w:rsidR="00F61D17" w:rsidRDefault="00F61D17">
    <w:pPr>
      <w:pStyle w:val="a4"/>
      <w:tabs>
        <w:tab w:val="left" w:pos="2880"/>
        <w:tab w:val="left" w:pos="6840"/>
        <w:tab w:val="left" w:pos="7920"/>
      </w:tabs>
      <w:ind w:left="-540" w:right="-1260"/>
      <w:rPr>
        <w:sz w:val="18"/>
      </w:rPr>
    </w:pPr>
    <w:r>
      <w:rPr>
        <w:sz w:val="18"/>
      </w:rPr>
      <w:t>Fax</w:t>
    </w:r>
    <w:r>
      <w:rPr>
        <w:b/>
        <w:sz w:val="18"/>
      </w:rPr>
      <w:t>:</w:t>
    </w:r>
    <w:r>
      <w:rPr>
        <w:sz w:val="18"/>
      </w:rPr>
      <w:t>610-296-8666</w:t>
    </w:r>
    <w:r>
      <w:rPr>
        <w:sz w:val="18"/>
      </w:rPr>
      <w:tab/>
      <w:t>Fax</w:t>
    </w:r>
    <w:r>
      <w:rPr>
        <w:b/>
        <w:sz w:val="18"/>
      </w:rPr>
      <w:t>:</w:t>
    </w:r>
    <w:r>
      <w:rPr>
        <w:sz w:val="18"/>
      </w:rPr>
      <w:t>010-6607 3587</w:t>
    </w:r>
    <w:r>
      <w:rPr>
        <w:sz w:val="18"/>
      </w:rPr>
      <w:tab/>
    </w:r>
    <w:r>
      <w:rPr>
        <w:sz w:val="18"/>
      </w:rPr>
      <w:tab/>
      <w:t>Fax</w:t>
    </w:r>
    <w:r>
      <w:rPr>
        <w:b/>
        <w:sz w:val="18"/>
      </w:rPr>
      <w:t>:</w:t>
    </w:r>
    <w:r>
      <w:rPr>
        <w:sz w:val="18"/>
      </w:rPr>
      <w:t>021-6466-2812</w:t>
    </w:r>
  </w:p>
  <w:p w:rsidR="00F61D17" w:rsidRDefault="00F61D17">
    <w:pPr>
      <w:pStyle w:val="a4"/>
      <w:tabs>
        <w:tab w:val="left" w:pos="2880"/>
        <w:tab w:val="left" w:pos="6840"/>
        <w:tab w:val="left" w:pos="7920"/>
      </w:tabs>
      <w:ind w:left="-540" w:right="-1260"/>
      <w:rPr>
        <w:sz w:val="18"/>
      </w:rPr>
    </w:pPr>
    <w:r>
      <w:rPr>
        <w:sz w:val="18"/>
      </w:rPr>
      <w:t>E-Mail</w:t>
    </w:r>
    <w:r>
      <w:rPr>
        <w:b/>
        <w:sz w:val="18"/>
      </w:rPr>
      <w:t>:</w:t>
    </w:r>
    <w:r>
      <w:rPr>
        <w:sz w:val="18"/>
      </w:rPr>
      <w:t xml:space="preserve"> psrusa@erols</w:t>
    </w:r>
    <w:r>
      <w:rPr>
        <w:b/>
        <w:sz w:val="18"/>
      </w:rPr>
      <w:t>.</w:t>
    </w:r>
    <w:r>
      <w:rPr>
        <w:sz w:val="18"/>
      </w:rPr>
      <w:t>com</w:t>
    </w:r>
    <w:r>
      <w:rPr>
        <w:sz w:val="18"/>
      </w:rPr>
      <w:tab/>
      <w:t>E-Mail:psrbj@public.bta.net.cn</w:t>
    </w:r>
    <w:r>
      <w:rPr>
        <w:sz w:val="18"/>
      </w:rPr>
      <w:tab/>
      <w:t>E-Mail</w:t>
    </w:r>
    <w:r>
      <w:rPr>
        <w:b/>
        <w:sz w:val="18"/>
      </w:rPr>
      <w:t>:</w:t>
    </w:r>
    <w:r>
      <w:rPr>
        <w:sz w:val="18"/>
      </w:rPr>
      <w:t>psrsha@public</w:t>
    </w:r>
    <w:r>
      <w:rPr>
        <w:b/>
        <w:sz w:val="18"/>
      </w:rPr>
      <w:t>.</w:t>
    </w:r>
    <w:r>
      <w:rPr>
        <w:sz w:val="18"/>
      </w:rPr>
      <w:t>sta</w:t>
    </w:r>
    <w:r>
      <w:rPr>
        <w:b/>
        <w:sz w:val="18"/>
      </w:rPr>
      <w:t>.</w:t>
    </w:r>
    <w:r>
      <w:rPr>
        <w:sz w:val="18"/>
      </w:rPr>
      <w:t>net</w:t>
    </w:r>
    <w:r>
      <w:rPr>
        <w:b/>
        <w:sz w:val="18"/>
      </w:rPr>
      <w:t>.</w:t>
    </w:r>
    <w:r>
      <w:rPr>
        <w:sz w:val="18"/>
      </w:rPr>
      <w:t>cn</w:t>
    </w:r>
  </w:p>
  <w:p w:rsidR="00F61D17" w:rsidRDefault="00F61D1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83D" w:rsidRDefault="004F583D">
      <w:r>
        <w:separator/>
      </w:r>
    </w:p>
  </w:footnote>
  <w:footnote w:type="continuationSeparator" w:id="0">
    <w:p w:rsidR="004F583D" w:rsidRDefault="004F58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1D17" w:rsidRDefault="00F61D17">
    <w:pPr>
      <w:pStyle w:val="a3"/>
      <w:widowControl w:val="0"/>
      <w:tabs>
        <w:tab w:val="clear" w:pos="4320"/>
        <w:tab w:val="clear" w:pos="8640"/>
        <w:tab w:val="right" w:pos="9240"/>
      </w:tabs>
      <w:kinsoku w:val="0"/>
      <w:overflowPunct w:val="0"/>
      <w:autoSpaceDE w:val="0"/>
      <w:autoSpaceDN w:val="0"/>
      <w:adjustRightInd w:val="0"/>
      <w:snapToGrid w:val="0"/>
      <w:textAlignment w:val="center"/>
      <w:rPr>
        <w:sz w:val="18"/>
      </w:rPr>
    </w:pPr>
    <w:r>
      <w:rPr>
        <w:rFonts w:hint="eastAsia"/>
      </w:rPr>
      <w:tab/>
    </w:r>
    <w:r w:rsidR="0050092F">
      <w:rPr>
        <w:rFonts w:hint="eastAsia"/>
        <w:noProof/>
      </w:rPr>
      <w:drawing>
        <wp:inline distT="0" distB="0" distL="0" distR="0">
          <wp:extent cx="847725" cy="466725"/>
          <wp:effectExtent l="0" t="0" r="9525" b="9525"/>
          <wp:docPr id="1" name="图片 1" descr="DOBLE-LOGO闪光修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BLE-LOGO闪光修整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16"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1D17" w:rsidRDefault="00F61D17">
    <w:pPr>
      <w:framePr w:w="8820" w:h="2165" w:hSpace="180" w:wrap="around" w:vAnchor="text" w:hAnchor="page" w:x="1158" w:y="-141"/>
    </w:pPr>
    <w:r>
      <w:t xml:space="preserve">     </w:t>
    </w:r>
    <w:r>
      <w:object w:dxaOrig="2610" w:dyaOrig="9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6pt;height:48pt" o:ole="" fillcolor="window">
          <v:imagedata r:id="rId1" o:title=""/>
        </v:shape>
        <o:OLEObject Type="Embed" ProgID="PBrush" ShapeID="_x0000_i1025" DrawAspect="Content" ObjectID="_1534663945" r:id="rId2"/>
      </w:object>
    </w:r>
  </w:p>
  <w:p w:rsidR="00F61D17" w:rsidRDefault="0050092F">
    <w:pPr>
      <w:framePr w:w="8820" w:h="2165" w:hSpace="180" w:wrap="around" w:vAnchor="text" w:hAnchor="page" w:x="1158" w:y="-141"/>
      <w:rPr>
        <w:b/>
        <w:sz w:val="32"/>
      </w:rPr>
    </w:pPr>
    <w:r>
      <w:rPr>
        <w:b/>
        <w:noProof/>
        <w:sz w:val="32"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-52705</wp:posOffset>
              </wp:positionH>
              <wp:positionV relativeFrom="paragraph">
                <wp:posOffset>1270</wp:posOffset>
              </wp:positionV>
              <wp:extent cx="2171700" cy="0"/>
              <wp:effectExtent l="13970" t="10795" r="5080" b="8255"/>
              <wp:wrapNone/>
              <wp:docPr id="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17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358A30" id="Line 1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15pt,.1pt" to="166.8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" o:allowincell="f" strokecolor="red"/>
          </w:pict>
        </mc:Fallback>
      </mc:AlternateContent>
    </w:r>
    <w:r w:rsidR="00F61D17">
      <w:rPr>
        <w:b/>
        <w:sz w:val="32"/>
      </w:rPr>
      <w:t>Power System Resources</w:t>
    </w:r>
  </w:p>
  <w:p w:rsidR="00F61D17" w:rsidRDefault="0050092F">
    <w:pPr>
      <w:framePr w:w="8820" w:h="2165" w:hSpace="180" w:wrap="around" w:vAnchor="text" w:hAnchor="page" w:x="1158" w:y="-141"/>
      <w:rPr>
        <w:rFonts w:ascii="Arial" w:hAnsi="Arial"/>
        <w:sz w:val="10"/>
      </w:rPr>
    </w:pPr>
    <w:r>
      <w:rPr>
        <w:b/>
        <w:noProof/>
        <w:sz w:val="30"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column">
                <wp:posOffset>-52705</wp:posOffset>
              </wp:positionH>
              <wp:positionV relativeFrom="paragraph">
                <wp:posOffset>22225</wp:posOffset>
              </wp:positionV>
              <wp:extent cx="2171700" cy="0"/>
              <wp:effectExtent l="13970" t="12700" r="5080" b="6350"/>
              <wp:wrapThrough wrapText="bothSides">
                <wp:wrapPolygon edited="0">
                  <wp:start x="-95" y="-2147483648"/>
                  <wp:lineTo x="-95" y="-2147483648"/>
                  <wp:lineTo x="21695" y="-2147483648"/>
                  <wp:lineTo x="21695" y="-2147483648"/>
                  <wp:lineTo x="-95" y="-2147483648"/>
                </wp:wrapPolygon>
              </wp:wrapThrough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17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3F4A87" id="Line 2" o:spid="_x0000_s1026" style="position:absolute;left:0;text-align:lef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15pt,1.75pt" to="166.8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" o:allowincell="f" strokecolor="red">
              <w10:wrap type="through"/>
            </v:line>
          </w:pict>
        </mc:Fallback>
      </mc:AlternateContent>
    </w:r>
    <w:r w:rsidR="00F61D17">
      <w:rPr>
        <w:rFonts w:ascii="Arial" w:hAnsi="Arial"/>
        <w:sz w:val="13"/>
      </w:rPr>
      <w:t xml:space="preserve">   </w:t>
    </w:r>
    <w:r w:rsidR="00F61D17">
      <w:rPr>
        <w:rFonts w:ascii="Arial" w:hAnsi="Arial"/>
        <w:sz w:val="22"/>
      </w:rPr>
      <w:t xml:space="preserve">    </w:t>
    </w:r>
  </w:p>
  <w:p w:rsidR="00F61D17" w:rsidRDefault="00F61D17">
    <w:pPr>
      <w:framePr w:w="8820" w:h="2165" w:hSpace="180" w:wrap="around" w:vAnchor="text" w:hAnchor="page" w:x="1158" w:y="-141"/>
      <w:rPr>
        <w:b/>
        <w:sz w:val="30"/>
      </w:rPr>
    </w:pPr>
    <w:r>
      <w:rPr>
        <w:rFonts w:ascii="Arial" w:hAnsi="Arial"/>
        <w:sz w:val="22"/>
      </w:rPr>
      <w:t xml:space="preserve">    </w:t>
    </w:r>
    <w:smartTag w:uri="urn:schemas-microsoft-com:office:smarttags" w:element="place">
      <w:smartTag w:uri="urn:schemas-microsoft-com:office:smarttags" w:element="country-region">
        <w:r>
          <w:rPr>
            <w:rFonts w:ascii="Arial" w:hAnsi="Arial"/>
            <w:sz w:val="22"/>
          </w:rPr>
          <w:t>CHINA</w:t>
        </w:r>
      </w:smartTag>
    </w:smartTag>
    <w:r>
      <w:rPr>
        <w:rFonts w:ascii="Arial" w:hAnsi="Arial"/>
        <w:sz w:val="22"/>
      </w:rPr>
      <w:t xml:space="preserve"> IMPORT &amp; EXPORT</w:t>
    </w:r>
  </w:p>
  <w:p w:rsidR="00F61D17" w:rsidRDefault="0050092F"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2908935</wp:posOffset>
              </wp:positionH>
              <wp:positionV relativeFrom="paragraph">
                <wp:posOffset>-180340</wp:posOffset>
              </wp:positionV>
              <wp:extent cx="3086100" cy="1257300"/>
              <wp:effectExtent l="3810" t="635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86100" cy="1257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1D17" w:rsidRDefault="00F61D17">
                          <w:pPr>
                            <w:pStyle w:val="2"/>
                            <w:pBdr>
                              <w:bottom w:val="none" w:sz="0" w:space="0" w:color="auto"/>
                            </w:pBdr>
                            <w:ind w:left="720"/>
                            <w:rPr>
                              <w:color w:val="auto"/>
                              <w:sz w:val="28"/>
                            </w:rPr>
                          </w:pPr>
                          <w:r>
                            <w:rPr>
                              <w:color w:val="auto"/>
                              <w:sz w:val="28"/>
                            </w:rPr>
                            <w:t xml:space="preserve">    Authorized Representative</w:t>
                          </w:r>
                        </w:p>
                        <w:p w:rsidR="00F61D17" w:rsidRDefault="00F61D17">
                          <w:pPr>
                            <w:rPr>
                              <w:rFonts w:ascii="GELogoFont" w:hAnsi="GELogoFont"/>
                              <w:sz w:val="40"/>
                            </w:rPr>
                          </w:pPr>
                        </w:p>
                        <w:p w:rsidR="00F61D17" w:rsidRDefault="00F61D17">
                          <w:r>
                            <w:rPr>
                              <w:rFonts w:ascii="GELogoFont" w:hAnsi="GELogoFont"/>
                              <w:sz w:val="72"/>
                            </w:rPr>
                            <w:t></w:t>
                          </w:r>
                          <w:r>
                            <w:rPr>
                              <w:rFonts w:ascii="ArialMT" w:hAnsi="ArialMT"/>
                            </w:rPr>
                            <w:t xml:space="preserve">  </w:t>
                          </w:r>
                          <w:r>
                            <w:rPr>
                              <w:rFonts w:ascii="ArialMT" w:hAnsi="ArialMT"/>
                              <w:b/>
                              <w:i/>
                              <w:sz w:val="32"/>
                            </w:rPr>
                            <w:t>GE Power Management</w:t>
                          </w:r>
                        </w:p>
                        <w:p w:rsidR="00F61D17" w:rsidRDefault="00F61D17">
                          <w:pPr>
                            <w:rPr>
                              <w:color w:val="FF0000"/>
                              <w:sz w:val="15"/>
                            </w:rPr>
                          </w:pPr>
                          <w:r>
                            <w:rPr>
                              <w:color w:val="FF0000"/>
                              <w:sz w:val="15"/>
                            </w:rPr>
                            <w:t>____________________________________________________________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29.05pt;margin-top:-14.2pt;width:243pt;height:9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PWMtQIAALo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" o:allowincell="f" filled="f" stroked="f">
              <v:textbox>
                <w:txbxContent>
                  <w:p w:rsidR="00F61D17" w:rsidRDefault="00F61D17">
                    <w:pPr>
                      <w:pStyle w:val="2"/>
                      <w:pBdr>
                        <w:bottom w:val="none" w:sz="0" w:space="0" w:color="auto"/>
                      </w:pBdr>
                      <w:ind w:left="720"/>
                      <w:rPr>
                        <w:rFonts w:hint="eastAsia"/>
                        <w:color w:val="auto"/>
                        <w:sz w:val="28"/>
                      </w:rPr>
                    </w:pPr>
                    <w:r>
                      <w:rPr>
                        <w:color w:val="auto"/>
                        <w:sz w:val="28"/>
                      </w:rPr>
                      <w:t xml:space="preserve">    Authorized Representative</w:t>
                    </w:r>
                  </w:p>
                  <w:p w:rsidR="00F61D17" w:rsidRDefault="00F61D17">
                    <w:pPr>
                      <w:rPr>
                        <w:rFonts w:ascii="GELogoFont" w:hAnsi="GELogoFont"/>
                        <w:sz w:val="40"/>
                      </w:rPr>
                    </w:pPr>
                  </w:p>
                  <w:p w:rsidR="00F61D17" w:rsidRDefault="00F61D17">
                    <w:r>
                      <w:rPr>
                        <w:rFonts w:ascii="GELogoFont" w:hAnsi="GELogoFont"/>
                        <w:sz w:val="72"/>
                      </w:rPr>
                      <w:t></w:t>
                    </w:r>
                    <w:r>
                      <w:rPr>
                        <w:rFonts w:ascii="ArialMT" w:hAnsi="ArialMT"/>
                      </w:rPr>
                      <w:t xml:space="preserve">  </w:t>
                    </w:r>
                    <w:r>
                      <w:rPr>
                        <w:rFonts w:ascii="ArialMT" w:hAnsi="ArialMT"/>
                        <w:b/>
                        <w:i/>
                        <w:sz w:val="32"/>
                      </w:rPr>
                      <w:t>GE Power Management</w:t>
                    </w:r>
                  </w:p>
                  <w:p w:rsidR="00F61D17" w:rsidRDefault="00F61D17">
                    <w:pPr>
                      <w:rPr>
                        <w:color w:val="FF0000"/>
                        <w:sz w:val="15"/>
                      </w:rPr>
                    </w:pPr>
                    <w:r>
                      <w:rPr>
                        <w:color w:val="FF0000"/>
                        <w:sz w:val="15"/>
                      </w:rPr>
                      <w:t>____________________________________________________________</w:t>
                    </w:r>
                  </w:p>
                </w:txbxContent>
              </v:textbox>
            </v:shape>
          </w:pict>
        </mc:Fallback>
      </mc:AlternateContent>
    </w:r>
  </w:p>
  <w:p w:rsidR="00F61D17" w:rsidRDefault="00F61D1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5D72"/>
    <w:multiLevelType w:val="hybridMultilevel"/>
    <w:tmpl w:val="AE9058E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5192D87"/>
    <w:multiLevelType w:val="hybridMultilevel"/>
    <w:tmpl w:val="AE5EB9A6"/>
    <w:lvl w:ilvl="0" w:tplc="1C96283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ABB5AAC"/>
    <w:multiLevelType w:val="hybridMultilevel"/>
    <w:tmpl w:val="9EF6DD7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1D70501"/>
    <w:multiLevelType w:val="hybridMultilevel"/>
    <w:tmpl w:val="3B6E6804"/>
    <w:lvl w:ilvl="0" w:tplc="1C96283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BC20C7A"/>
    <w:multiLevelType w:val="hybridMultilevel"/>
    <w:tmpl w:val="9F88A41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D62555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D17"/>
    <w:rsid w:val="00144BD9"/>
    <w:rsid w:val="00220EA1"/>
    <w:rsid w:val="004F583D"/>
    <w:rsid w:val="0050092F"/>
    <w:rsid w:val="00631BFA"/>
    <w:rsid w:val="00F6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chmetcnv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FF5AA9-9FA9-4A7B-AAB0-0D2872650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framePr w:w="4181" w:h="1585" w:wrap="around" w:vAnchor="page" w:hAnchor="page" w:x="7345" w:y="721"/>
      <w:pBdr>
        <w:bottom w:val="single" w:sz="12" w:space="1" w:color="FF0000"/>
      </w:pBdr>
      <w:outlineLvl w:val="1"/>
    </w:pPr>
    <w:rPr>
      <w:rFonts w:ascii="ArialMT" w:hAnsi="ArialMT"/>
      <w:b/>
      <w:color w:val="C0C0C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320"/>
        <w:tab w:val="right" w:pos="8640"/>
      </w:tabs>
    </w:pPr>
  </w:style>
  <w:style w:type="paragraph" w:styleId="a4">
    <w:name w:val="footer"/>
    <w:basedOn w:val="a"/>
    <w:pPr>
      <w:tabs>
        <w:tab w:val="center" w:pos="4320"/>
        <w:tab w:val="right" w:pos="8640"/>
      </w:tabs>
    </w:pPr>
  </w:style>
  <w:style w:type="table" w:styleId="a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表格文字"/>
    <w:basedOn w:val="a"/>
    <w:pPr>
      <w:widowControl w:val="0"/>
      <w:overflowPunct w:val="0"/>
      <w:adjustRightInd w:val="0"/>
      <w:snapToGrid w:val="0"/>
      <w:spacing w:line="380" w:lineRule="atLeast"/>
      <w:jc w:val="center"/>
      <w:textAlignment w:val="center"/>
    </w:pPr>
    <w:rPr>
      <w:snapToGrid w:val="0"/>
      <w:color w:val="000000"/>
      <w:kern w:val="24"/>
    </w:rPr>
  </w:style>
  <w:style w:type="numbering" w:styleId="111111">
    <w:name w:val="Outline List 2"/>
    <w:basedOn w:val="a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收件人：张晓峥</dc:title>
  <dc:subject/>
  <dc:creator>zddl</dc:creator>
  <cp:keywords/>
  <dc:description/>
  <cp:lastModifiedBy>youjun</cp:lastModifiedBy>
  <cp:revision>5</cp:revision>
  <cp:lastPrinted>2009-04-29T12:29:00Z</cp:lastPrinted>
  <dcterms:created xsi:type="dcterms:W3CDTF">2016-09-06T02:20:00Z</dcterms:created>
  <dcterms:modified xsi:type="dcterms:W3CDTF">2016-09-06T02:46:00Z</dcterms:modified>
</cp:coreProperties>
</file>