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93503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93503E" w:rsidRPr="00672BFD">
              <w:rPr>
                <w:rFonts w:ascii="黑体" w:eastAsia="黑体" w:hAnsi="黑体"/>
                <w:sz w:val="21"/>
                <w:szCs w:val="21"/>
              </w:rPr>
            </w:r>
            <w:r w:rsidRPr="00672BFD">
              <w:rPr>
                <w:rFonts w:ascii="黑体" w:eastAsia="黑体" w:hAnsi="黑体"/>
                <w:sz w:val="21"/>
                <w:szCs w:val="21"/>
              </w:rPr>
              <w:fldChar w:fldCharType="separate"/>
            </w:r>
            <w:r w:rsidR="0093503E">
              <w:rPr>
                <w:rFonts w:ascii="黑体" w:eastAsia="黑体" w:hAnsi="黑体"/>
                <w:sz w:val="21"/>
                <w:szCs w:val="21"/>
              </w:rPr>
              <w:t>17.080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93503E">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93503E">
                    <w:t>CHBAS</w:t>
                  </w:r>
                  <w:r w:rsidR="009C3257">
                    <w:fldChar w:fldCharType="end"/>
                  </w:r>
                  <w:bookmarkEnd w:id="1"/>
                </w:p>
              </w:tc>
            </w:tr>
          </w:tbl>
          <w:p w:rsidR="00FB231D" w:rsidRPr="00672BFD" w:rsidRDefault="00672BFD" w:rsidP="00705C0D">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93503E" w:rsidRPr="00672BFD">
              <w:rPr>
                <w:rFonts w:ascii="黑体" w:eastAsia="黑体" w:hAnsi="黑体"/>
                <w:sz w:val="21"/>
                <w:szCs w:val="21"/>
              </w:rPr>
            </w:r>
            <w:r w:rsidRPr="00672BFD">
              <w:rPr>
                <w:rFonts w:ascii="黑体" w:eastAsia="黑体" w:hAnsi="黑体"/>
                <w:sz w:val="21"/>
                <w:szCs w:val="21"/>
              </w:rPr>
              <w:fldChar w:fldCharType="separate"/>
            </w:r>
            <w:r w:rsidR="00705C0D">
              <w:rPr>
                <w:rFonts w:ascii="黑体" w:eastAsia="黑体" w:hAnsi="黑体" w:hint="eastAsia"/>
                <w:sz w:val="21"/>
                <w:szCs w:val="21"/>
              </w:rPr>
              <w:t>L</w:t>
            </w:r>
            <w:r w:rsidR="00705C0D">
              <w:rPr>
                <w:rFonts w:ascii="黑体" w:eastAsia="黑体" w:hAnsi="黑体"/>
                <w:sz w:val="21"/>
                <w:szCs w:val="21"/>
              </w:rPr>
              <w:t xml:space="preserve"> </w:t>
            </w:r>
            <w:r w:rsidR="0093503E">
              <w:rPr>
                <w:rFonts w:ascii="黑体" w:eastAsia="黑体" w:hAnsi="黑体" w:hint="eastAsia"/>
                <w:sz w:val="21"/>
                <w:szCs w:val="21"/>
              </w:rPr>
              <w:t>8</w:t>
            </w:r>
            <w:r w:rsidR="0093503E">
              <w:rPr>
                <w:rFonts w:ascii="黑体" w:eastAsia="黑体" w:hAnsi="黑体"/>
                <w:sz w:val="21"/>
                <w:szCs w:val="21"/>
              </w:rPr>
              <w:t>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93503E" w:rsidRPr="001A4CF3">
        <w:rPr>
          <w:rFonts w:ascii="黑体" w:eastAsia="黑体"/>
          <w:b w:val="0"/>
          <w:w w:val="100"/>
          <w:sz w:val="48"/>
        </w:rPr>
      </w:r>
      <w:r w:rsidRPr="001A4CF3">
        <w:rPr>
          <w:rFonts w:ascii="黑体" w:eastAsia="黑体"/>
          <w:b w:val="0"/>
          <w:w w:val="100"/>
          <w:sz w:val="48"/>
        </w:rPr>
        <w:fldChar w:fldCharType="separate"/>
      </w:r>
      <w:r w:rsidR="0093503E">
        <w:rPr>
          <w:rFonts w:ascii="黑体" w:eastAsia="黑体" w:hint="eastAsia"/>
          <w:b w:val="0"/>
          <w:w w:val="100"/>
          <w:sz w:val="48"/>
        </w:rPr>
        <w:t>河北省</w:t>
      </w:r>
      <w:r w:rsidR="0093503E">
        <w:rPr>
          <w:rFonts w:ascii="黑体" w:eastAsia="黑体"/>
          <w:b w:val="0"/>
          <w:w w:val="100"/>
          <w:sz w:val="48"/>
        </w:rPr>
        <w:t>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93503E">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93503E">
        <w:t>2021</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049E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3503E">
        <w:t>N-苯基-双（三氟甲磺酰）亚胺中杂质的检测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677BC1"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677BC1">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677BC1">
        <w:rPr>
          <w:rFonts w:ascii="黑体" w:eastAsia="黑体" w:hAnsi="黑体"/>
          <w:noProof/>
          <w:szCs w:val="28"/>
        </w:rPr>
        <w:instrText xml:space="preserve"> FORMTEXT </w:instrText>
      </w:r>
      <w:r w:rsidR="0093503E" w:rsidRPr="00677BC1">
        <w:rPr>
          <w:rFonts w:ascii="黑体" w:eastAsia="黑体" w:hAnsi="黑体"/>
          <w:noProof/>
          <w:szCs w:val="28"/>
        </w:rPr>
      </w:r>
      <w:r w:rsidRPr="00677BC1">
        <w:rPr>
          <w:rFonts w:ascii="黑体" w:eastAsia="黑体" w:hAnsi="黑体"/>
          <w:noProof/>
          <w:szCs w:val="28"/>
        </w:rPr>
        <w:fldChar w:fldCharType="separate"/>
      </w:r>
      <w:r w:rsidR="0093503E" w:rsidRPr="00677BC1">
        <w:rPr>
          <w:rFonts w:ascii="黑体" w:eastAsia="黑体" w:hAnsi="黑体"/>
          <w:noProof/>
          <w:szCs w:val="28"/>
        </w:rPr>
        <w:t>Detection of impurities in trifluoromethanesulfonic acid</w:t>
      </w:r>
      <w:r w:rsidRPr="00677BC1">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3503E">
        <w:rPr>
          <w:noProof/>
          <w:sz w:val="24"/>
          <w:szCs w:val="28"/>
        </w:rPr>
      </w:r>
      <w:r w:rsidR="00733B21">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733B21">
        <w:rPr>
          <w:b/>
          <w:noProof/>
          <w:sz w:val="21"/>
          <w:szCs w:val="28"/>
        </w:rPr>
      </w:r>
      <w:r w:rsidR="00733B21">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93503E" w:rsidRPr="004C7E8B">
        <w:rPr>
          <w:rFonts w:hAnsi="黑体"/>
          <w:w w:val="100"/>
          <w:sz w:val="28"/>
        </w:rPr>
      </w:r>
      <w:r w:rsidRPr="004C7E8B">
        <w:rPr>
          <w:rFonts w:hAnsi="黑体"/>
          <w:w w:val="100"/>
          <w:sz w:val="28"/>
        </w:rPr>
        <w:fldChar w:fldCharType="separate"/>
      </w:r>
      <w:r w:rsidR="0093503E">
        <w:rPr>
          <w:rFonts w:hAnsi="黑体" w:hint="eastAsia"/>
          <w:w w:val="100"/>
          <w:sz w:val="28"/>
        </w:rPr>
        <w:t>河北省</w:t>
      </w:r>
      <w:r w:rsidR="0093503E">
        <w:rPr>
          <w:rFonts w:hAnsi="黑体"/>
          <w:w w:val="100"/>
          <w:sz w:val="28"/>
        </w:rPr>
        <w:t>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B1C5EF9" wp14:editId="7A742F7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0FA9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D47D7" w:rsidRDefault="004D47D7" w:rsidP="004D47D7">
      <w:pPr>
        <w:pStyle w:val="afffffc"/>
        <w:spacing w:after="360"/>
        <w:rPr>
          <w:rFonts w:hint="eastAsia"/>
        </w:rPr>
      </w:pPr>
      <w:bookmarkStart w:id="21" w:name="BookMark1"/>
      <w:r w:rsidRPr="004D47D7">
        <w:rPr>
          <w:rFonts w:hint="eastAsia"/>
          <w:spacing w:val="320"/>
        </w:rPr>
        <w:lastRenderedPageBreak/>
        <w:t>目</w:t>
      </w:r>
      <w:r>
        <w:rPr>
          <w:rFonts w:hint="eastAsia"/>
        </w:rPr>
        <w:t>次</w:t>
      </w:r>
    </w:p>
    <w:p w:rsidR="004D47D7" w:rsidRPr="004D47D7" w:rsidRDefault="004D47D7">
      <w:pPr>
        <w:pStyle w:val="10"/>
        <w:tabs>
          <w:tab w:val="right" w:leader="dot" w:pos="9344"/>
        </w:tabs>
        <w:rPr>
          <w:rFonts w:asciiTheme="minorHAnsi" w:eastAsiaTheme="minorEastAsia" w:hAnsiTheme="minorHAnsi" w:cstheme="minorBidi"/>
          <w:noProof/>
          <w:szCs w:val="22"/>
        </w:rPr>
      </w:pPr>
      <w:r w:rsidRPr="004D47D7">
        <w:fldChar w:fldCharType="begin"/>
      </w:r>
      <w:r w:rsidRPr="004D47D7">
        <w:instrText xml:space="preserve"> TOC \o "1-1" \h </w:instrText>
      </w:r>
      <w:r w:rsidRPr="004D47D7">
        <w:fldChar w:fldCharType="separate"/>
      </w:r>
      <w:hyperlink w:anchor="_Toc75811264" w:history="1">
        <w:r w:rsidRPr="004D47D7">
          <w:rPr>
            <w:rStyle w:val="affffff7"/>
            <w:rFonts w:hint="eastAsia"/>
            <w:noProof/>
          </w:rPr>
          <w:t>前言</w:t>
        </w:r>
        <w:r w:rsidRPr="004D47D7">
          <w:rPr>
            <w:noProof/>
          </w:rPr>
          <w:tab/>
        </w:r>
        <w:r w:rsidRPr="004D47D7">
          <w:rPr>
            <w:noProof/>
          </w:rPr>
          <w:fldChar w:fldCharType="begin"/>
        </w:r>
        <w:r w:rsidRPr="004D47D7">
          <w:rPr>
            <w:noProof/>
          </w:rPr>
          <w:instrText xml:space="preserve"> PAGEREF _Toc75811264 \h </w:instrText>
        </w:r>
        <w:r w:rsidRPr="004D47D7">
          <w:rPr>
            <w:noProof/>
          </w:rPr>
        </w:r>
        <w:r w:rsidRPr="004D47D7">
          <w:rPr>
            <w:noProof/>
          </w:rPr>
          <w:fldChar w:fldCharType="separate"/>
        </w:r>
        <w:r w:rsidRPr="004D47D7">
          <w:rPr>
            <w:noProof/>
          </w:rPr>
          <w:t>II</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65" w:history="1">
        <w:r w:rsidRPr="004D47D7">
          <w:rPr>
            <w:rStyle w:val="affffff7"/>
            <w:noProof/>
          </w:rPr>
          <w:t>1</w:t>
        </w:r>
        <w:r>
          <w:rPr>
            <w:rStyle w:val="affffff7"/>
            <w:noProof/>
          </w:rPr>
          <w:t xml:space="preserve"> </w:t>
        </w:r>
        <w:r w:rsidRPr="004D47D7">
          <w:rPr>
            <w:rStyle w:val="affffff7"/>
            <w:rFonts w:hint="eastAsia"/>
            <w:noProof/>
          </w:rPr>
          <w:t xml:space="preserve"> 范围</w:t>
        </w:r>
        <w:r w:rsidRPr="004D47D7">
          <w:rPr>
            <w:noProof/>
          </w:rPr>
          <w:tab/>
        </w:r>
        <w:r w:rsidRPr="004D47D7">
          <w:rPr>
            <w:noProof/>
          </w:rPr>
          <w:fldChar w:fldCharType="begin"/>
        </w:r>
        <w:r w:rsidRPr="004D47D7">
          <w:rPr>
            <w:noProof/>
          </w:rPr>
          <w:instrText xml:space="preserve"> PAGEREF _Toc75811265 \h </w:instrText>
        </w:r>
        <w:r w:rsidRPr="004D47D7">
          <w:rPr>
            <w:noProof/>
          </w:rPr>
        </w:r>
        <w:r w:rsidRPr="004D47D7">
          <w:rPr>
            <w:noProof/>
          </w:rPr>
          <w:fldChar w:fldCharType="separate"/>
        </w:r>
        <w:r w:rsidRPr="004D47D7">
          <w:rPr>
            <w:noProof/>
          </w:rPr>
          <w:t>1</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66" w:history="1">
        <w:r w:rsidRPr="004D47D7">
          <w:rPr>
            <w:rStyle w:val="affffff7"/>
            <w:noProof/>
          </w:rPr>
          <w:t>2</w:t>
        </w:r>
        <w:r>
          <w:rPr>
            <w:rStyle w:val="affffff7"/>
            <w:noProof/>
          </w:rPr>
          <w:t xml:space="preserve"> </w:t>
        </w:r>
        <w:r w:rsidRPr="004D47D7">
          <w:rPr>
            <w:rStyle w:val="affffff7"/>
            <w:rFonts w:hint="eastAsia"/>
            <w:noProof/>
          </w:rPr>
          <w:t xml:space="preserve"> 规范性引用文件</w:t>
        </w:r>
        <w:r w:rsidRPr="004D47D7">
          <w:rPr>
            <w:noProof/>
          </w:rPr>
          <w:tab/>
        </w:r>
        <w:r w:rsidRPr="004D47D7">
          <w:rPr>
            <w:noProof/>
          </w:rPr>
          <w:fldChar w:fldCharType="begin"/>
        </w:r>
        <w:r w:rsidRPr="004D47D7">
          <w:rPr>
            <w:noProof/>
          </w:rPr>
          <w:instrText xml:space="preserve"> PAGEREF _Toc75811266 \h </w:instrText>
        </w:r>
        <w:r w:rsidRPr="004D47D7">
          <w:rPr>
            <w:noProof/>
          </w:rPr>
        </w:r>
        <w:r w:rsidRPr="004D47D7">
          <w:rPr>
            <w:noProof/>
          </w:rPr>
          <w:fldChar w:fldCharType="separate"/>
        </w:r>
        <w:r w:rsidRPr="004D47D7">
          <w:rPr>
            <w:noProof/>
          </w:rPr>
          <w:t>1</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67" w:history="1">
        <w:r w:rsidRPr="004D47D7">
          <w:rPr>
            <w:rStyle w:val="affffff7"/>
            <w:noProof/>
          </w:rPr>
          <w:t>3</w:t>
        </w:r>
        <w:r>
          <w:rPr>
            <w:rStyle w:val="affffff7"/>
            <w:noProof/>
          </w:rPr>
          <w:t xml:space="preserve"> </w:t>
        </w:r>
        <w:r w:rsidRPr="004D47D7">
          <w:rPr>
            <w:rStyle w:val="affffff7"/>
            <w:rFonts w:hint="eastAsia"/>
            <w:noProof/>
          </w:rPr>
          <w:t xml:space="preserve"> 术语和定义</w:t>
        </w:r>
        <w:r w:rsidRPr="004D47D7">
          <w:rPr>
            <w:noProof/>
          </w:rPr>
          <w:tab/>
        </w:r>
        <w:r w:rsidRPr="004D47D7">
          <w:rPr>
            <w:noProof/>
          </w:rPr>
          <w:fldChar w:fldCharType="begin"/>
        </w:r>
        <w:r w:rsidRPr="004D47D7">
          <w:rPr>
            <w:noProof/>
          </w:rPr>
          <w:instrText xml:space="preserve"> PAGEREF _Toc75811267 \h </w:instrText>
        </w:r>
        <w:r w:rsidRPr="004D47D7">
          <w:rPr>
            <w:noProof/>
          </w:rPr>
        </w:r>
        <w:r w:rsidRPr="004D47D7">
          <w:rPr>
            <w:noProof/>
          </w:rPr>
          <w:fldChar w:fldCharType="separate"/>
        </w:r>
        <w:r w:rsidRPr="004D47D7">
          <w:rPr>
            <w:noProof/>
          </w:rPr>
          <w:t>1</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68" w:history="1">
        <w:r w:rsidRPr="004D47D7">
          <w:rPr>
            <w:rStyle w:val="affffff7"/>
            <w:noProof/>
          </w:rPr>
          <w:t>4</w:t>
        </w:r>
        <w:r>
          <w:rPr>
            <w:rStyle w:val="affffff7"/>
            <w:noProof/>
          </w:rPr>
          <w:t xml:space="preserve"> </w:t>
        </w:r>
        <w:r w:rsidRPr="004D47D7">
          <w:rPr>
            <w:rStyle w:val="affffff7"/>
            <w:rFonts w:hint="eastAsia"/>
            <w:noProof/>
          </w:rPr>
          <w:t xml:space="preserve"> 技术要求</w:t>
        </w:r>
        <w:r w:rsidRPr="004D47D7">
          <w:rPr>
            <w:noProof/>
          </w:rPr>
          <w:tab/>
        </w:r>
        <w:r w:rsidRPr="004D47D7">
          <w:rPr>
            <w:noProof/>
          </w:rPr>
          <w:fldChar w:fldCharType="begin"/>
        </w:r>
        <w:r w:rsidRPr="004D47D7">
          <w:rPr>
            <w:noProof/>
          </w:rPr>
          <w:instrText xml:space="preserve"> PAGEREF _Toc75811268 \h </w:instrText>
        </w:r>
        <w:r w:rsidRPr="004D47D7">
          <w:rPr>
            <w:noProof/>
          </w:rPr>
        </w:r>
        <w:r w:rsidRPr="004D47D7">
          <w:rPr>
            <w:noProof/>
          </w:rPr>
          <w:fldChar w:fldCharType="separate"/>
        </w:r>
        <w:r w:rsidRPr="004D47D7">
          <w:rPr>
            <w:noProof/>
          </w:rPr>
          <w:t>1</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69" w:history="1">
        <w:r w:rsidRPr="004D47D7">
          <w:rPr>
            <w:rStyle w:val="affffff7"/>
            <w:noProof/>
          </w:rPr>
          <w:t>5</w:t>
        </w:r>
        <w:r>
          <w:rPr>
            <w:rStyle w:val="affffff7"/>
            <w:noProof/>
          </w:rPr>
          <w:t xml:space="preserve"> </w:t>
        </w:r>
        <w:r w:rsidRPr="004D47D7">
          <w:rPr>
            <w:rStyle w:val="affffff7"/>
            <w:rFonts w:hint="eastAsia"/>
            <w:noProof/>
          </w:rPr>
          <w:t xml:space="preserve"> 警示</w:t>
        </w:r>
        <w:r w:rsidRPr="004D47D7">
          <w:rPr>
            <w:noProof/>
          </w:rPr>
          <w:tab/>
        </w:r>
        <w:r w:rsidRPr="004D47D7">
          <w:rPr>
            <w:noProof/>
          </w:rPr>
          <w:fldChar w:fldCharType="begin"/>
        </w:r>
        <w:r w:rsidRPr="004D47D7">
          <w:rPr>
            <w:noProof/>
          </w:rPr>
          <w:instrText xml:space="preserve"> PAGEREF _Toc75811269 \h </w:instrText>
        </w:r>
        <w:r w:rsidRPr="004D47D7">
          <w:rPr>
            <w:noProof/>
          </w:rPr>
        </w:r>
        <w:r w:rsidRPr="004D47D7">
          <w:rPr>
            <w:noProof/>
          </w:rPr>
          <w:fldChar w:fldCharType="separate"/>
        </w:r>
        <w:r w:rsidRPr="004D47D7">
          <w:rPr>
            <w:noProof/>
          </w:rPr>
          <w:t>1</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70" w:history="1">
        <w:r w:rsidRPr="004D47D7">
          <w:rPr>
            <w:rStyle w:val="affffff7"/>
            <w:noProof/>
          </w:rPr>
          <w:t>6</w:t>
        </w:r>
        <w:r>
          <w:rPr>
            <w:rStyle w:val="affffff7"/>
            <w:noProof/>
          </w:rPr>
          <w:t xml:space="preserve"> </w:t>
        </w:r>
        <w:r w:rsidRPr="004D47D7">
          <w:rPr>
            <w:rStyle w:val="affffff7"/>
            <w:rFonts w:hint="eastAsia"/>
            <w:noProof/>
          </w:rPr>
          <w:t xml:space="preserve"> 一般规定</w:t>
        </w:r>
        <w:r w:rsidRPr="004D47D7">
          <w:rPr>
            <w:noProof/>
          </w:rPr>
          <w:tab/>
        </w:r>
        <w:r w:rsidRPr="004D47D7">
          <w:rPr>
            <w:noProof/>
          </w:rPr>
          <w:fldChar w:fldCharType="begin"/>
        </w:r>
        <w:r w:rsidRPr="004D47D7">
          <w:rPr>
            <w:noProof/>
          </w:rPr>
          <w:instrText xml:space="preserve"> PAGEREF _Toc75811270 \h </w:instrText>
        </w:r>
        <w:r w:rsidRPr="004D47D7">
          <w:rPr>
            <w:noProof/>
          </w:rPr>
        </w:r>
        <w:r w:rsidRPr="004D47D7">
          <w:rPr>
            <w:noProof/>
          </w:rPr>
          <w:fldChar w:fldCharType="separate"/>
        </w:r>
        <w:r w:rsidRPr="004D47D7">
          <w:rPr>
            <w:noProof/>
          </w:rPr>
          <w:t>1</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71" w:history="1">
        <w:r w:rsidRPr="004D47D7">
          <w:rPr>
            <w:rStyle w:val="affffff7"/>
            <w:noProof/>
          </w:rPr>
          <w:t>7</w:t>
        </w:r>
        <w:r>
          <w:rPr>
            <w:rStyle w:val="affffff7"/>
            <w:noProof/>
          </w:rPr>
          <w:t xml:space="preserve"> </w:t>
        </w:r>
        <w:r w:rsidRPr="004D47D7">
          <w:rPr>
            <w:rStyle w:val="affffff7"/>
            <w:noProof/>
          </w:rPr>
          <w:t xml:space="preserve"> N-</w:t>
        </w:r>
        <w:r w:rsidRPr="004D47D7">
          <w:rPr>
            <w:rStyle w:val="affffff7"/>
            <w:rFonts w:hint="eastAsia"/>
            <w:noProof/>
          </w:rPr>
          <w:t>苯基</w:t>
        </w:r>
        <w:r w:rsidRPr="004D47D7">
          <w:rPr>
            <w:rStyle w:val="affffff7"/>
            <w:noProof/>
          </w:rPr>
          <w:t>-</w:t>
        </w:r>
        <w:r w:rsidRPr="004D47D7">
          <w:rPr>
            <w:rStyle w:val="affffff7"/>
            <w:rFonts w:hint="eastAsia"/>
            <w:noProof/>
          </w:rPr>
          <w:t>双（三氟甲磺酰）亚胺含量的测定</w:t>
        </w:r>
        <w:r w:rsidRPr="004D47D7">
          <w:rPr>
            <w:noProof/>
          </w:rPr>
          <w:tab/>
        </w:r>
        <w:r w:rsidRPr="004D47D7">
          <w:rPr>
            <w:noProof/>
          </w:rPr>
          <w:fldChar w:fldCharType="begin"/>
        </w:r>
        <w:r w:rsidRPr="004D47D7">
          <w:rPr>
            <w:noProof/>
          </w:rPr>
          <w:instrText xml:space="preserve"> PAGEREF _Toc75811271 \h </w:instrText>
        </w:r>
        <w:r w:rsidRPr="004D47D7">
          <w:rPr>
            <w:noProof/>
          </w:rPr>
        </w:r>
        <w:r w:rsidRPr="004D47D7">
          <w:rPr>
            <w:noProof/>
          </w:rPr>
          <w:fldChar w:fldCharType="separate"/>
        </w:r>
        <w:r w:rsidRPr="004D47D7">
          <w:rPr>
            <w:noProof/>
          </w:rPr>
          <w:t>2</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72" w:history="1">
        <w:r w:rsidRPr="004D47D7">
          <w:rPr>
            <w:rStyle w:val="affffff7"/>
            <w:noProof/>
          </w:rPr>
          <w:t>8</w:t>
        </w:r>
        <w:r>
          <w:rPr>
            <w:rStyle w:val="affffff7"/>
            <w:noProof/>
          </w:rPr>
          <w:t xml:space="preserve"> </w:t>
        </w:r>
        <w:r w:rsidRPr="004D47D7">
          <w:rPr>
            <w:rStyle w:val="affffff7"/>
            <w:rFonts w:hint="eastAsia"/>
            <w:noProof/>
          </w:rPr>
          <w:t xml:space="preserve"> 水分的测定</w:t>
        </w:r>
        <w:r w:rsidRPr="004D47D7">
          <w:rPr>
            <w:noProof/>
          </w:rPr>
          <w:tab/>
        </w:r>
        <w:r w:rsidRPr="004D47D7">
          <w:rPr>
            <w:noProof/>
          </w:rPr>
          <w:fldChar w:fldCharType="begin"/>
        </w:r>
        <w:r w:rsidRPr="004D47D7">
          <w:rPr>
            <w:noProof/>
          </w:rPr>
          <w:instrText xml:space="preserve"> PAGEREF _Toc75811272 \h </w:instrText>
        </w:r>
        <w:r w:rsidRPr="004D47D7">
          <w:rPr>
            <w:noProof/>
          </w:rPr>
        </w:r>
        <w:r w:rsidRPr="004D47D7">
          <w:rPr>
            <w:noProof/>
          </w:rPr>
          <w:fldChar w:fldCharType="separate"/>
        </w:r>
        <w:r w:rsidRPr="004D47D7">
          <w:rPr>
            <w:noProof/>
          </w:rPr>
          <w:t>2</w:t>
        </w:r>
        <w:r w:rsidRPr="004D47D7">
          <w:rPr>
            <w:noProof/>
          </w:rPr>
          <w:fldChar w:fldCharType="end"/>
        </w:r>
      </w:hyperlink>
    </w:p>
    <w:p w:rsidR="004D47D7" w:rsidRPr="004D47D7" w:rsidRDefault="004D47D7">
      <w:pPr>
        <w:pStyle w:val="10"/>
        <w:tabs>
          <w:tab w:val="right" w:leader="dot" w:pos="9344"/>
        </w:tabs>
        <w:rPr>
          <w:rFonts w:asciiTheme="minorHAnsi" w:eastAsiaTheme="minorEastAsia" w:hAnsiTheme="minorHAnsi" w:cstheme="minorBidi"/>
          <w:noProof/>
          <w:szCs w:val="22"/>
        </w:rPr>
      </w:pPr>
      <w:hyperlink w:anchor="_Toc75811273" w:history="1">
        <w:r w:rsidRPr="004D47D7">
          <w:rPr>
            <w:rStyle w:val="affffff7"/>
            <w:rFonts w:hint="eastAsia"/>
            <w:noProof/>
          </w:rPr>
          <w:t>参考文献</w:t>
        </w:r>
        <w:r w:rsidRPr="004D47D7">
          <w:rPr>
            <w:noProof/>
          </w:rPr>
          <w:tab/>
        </w:r>
        <w:r w:rsidRPr="004D47D7">
          <w:rPr>
            <w:noProof/>
          </w:rPr>
          <w:fldChar w:fldCharType="begin"/>
        </w:r>
        <w:r w:rsidRPr="004D47D7">
          <w:rPr>
            <w:noProof/>
          </w:rPr>
          <w:instrText xml:space="preserve"> PAGEREF _Toc75811273 \h </w:instrText>
        </w:r>
        <w:r w:rsidRPr="004D47D7">
          <w:rPr>
            <w:noProof/>
          </w:rPr>
        </w:r>
        <w:r w:rsidRPr="004D47D7">
          <w:rPr>
            <w:noProof/>
          </w:rPr>
          <w:fldChar w:fldCharType="separate"/>
        </w:r>
        <w:r w:rsidRPr="004D47D7">
          <w:rPr>
            <w:noProof/>
          </w:rPr>
          <w:t>4</w:t>
        </w:r>
        <w:r w:rsidRPr="004D47D7">
          <w:rPr>
            <w:noProof/>
          </w:rPr>
          <w:fldChar w:fldCharType="end"/>
        </w:r>
      </w:hyperlink>
    </w:p>
    <w:p w:rsidR="004D47D7" w:rsidRPr="004D47D7" w:rsidRDefault="004D47D7" w:rsidP="004D47D7">
      <w:pPr>
        <w:pStyle w:val="afffffc"/>
        <w:spacing w:after="360"/>
        <w:sectPr w:rsidR="004D47D7" w:rsidRPr="004D47D7" w:rsidSect="0093503E">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r w:rsidRPr="004D47D7">
        <w:fldChar w:fldCharType="end"/>
      </w:r>
    </w:p>
    <w:p w:rsidR="0093503E" w:rsidRDefault="0093503E" w:rsidP="0093503E">
      <w:pPr>
        <w:pStyle w:val="a6"/>
        <w:spacing w:after="360"/>
      </w:pPr>
      <w:bookmarkStart w:id="22" w:name="BookMark2"/>
      <w:bookmarkStart w:id="23" w:name="_Toc75811264"/>
      <w:bookmarkEnd w:id="21"/>
      <w:r w:rsidRPr="0093503E">
        <w:rPr>
          <w:spacing w:val="320"/>
        </w:rPr>
        <w:lastRenderedPageBreak/>
        <w:t>前</w:t>
      </w:r>
      <w:r>
        <w:t>言</w:t>
      </w:r>
      <w:bookmarkEnd w:id="23"/>
    </w:p>
    <w:p w:rsidR="0093503E" w:rsidRDefault="0093503E" w:rsidP="0093503E">
      <w:pPr>
        <w:pStyle w:val="affff6"/>
        <w:ind w:firstLine="420"/>
        <w:rPr>
          <w:rFonts w:hint="eastAsia"/>
        </w:rPr>
      </w:pPr>
      <w:r>
        <w:rPr>
          <w:rFonts w:hint="eastAsia"/>
        </w:rPr>
        <w:t>本文件按照GB/T 1.1—2020《标准化工作导则  第1部分：标准化文件的结构和起草规则》的规定起草。</w:t>
      </w:r>
    </w:p>
    <w:p w:rsidR="0093503E" w:rsidRPr="0093503E" w:rsidRDefault="0093503E" w:rsidP="0093503E">
      <w:pPr>
        <w:pStyle w:val="affff6"/>
        <w:ind w:firstLine="420"/>
      </w:pPr>
      <w:r>
        <w:rPr>
          <w:rFonts w:hint="eastAsia"/>
        </w:rPr>
        <w:t>请注意本文件的某些内容可能涉及专利。本文件的发布机构不承担识别专利的责任。</w:t>
      </w:r>
    </w:p>
    <w:p w:rsidR="0093503E" w:rsidRDefault="0093503E" w:rsidP="0093503E">
      <w:pPr>
        <w:pStyle w:val="affff6"/>
        <w:ind w:firstLine="420"/>
        <w:rPr>
          <w:rFonts w:hint="eastAsia"/>
        </w:rPr>
      </w:pPr>
      <w:r>
        <w:rPr>
          <w:rFonts w:hint="eastAsia"/>
        </w:rPr>
        <w:t>本文件由河北省标准化协会提出并归口。</w:t>
      </w:r>
    </w:p>
    <w:p w:rsidR="0093503E" w:rsidRDefault="0093503E" w:rsidP="0093503E">
      <w:pPr>
        <w:pStyle w:val="affff6"/>
        <w:ind w:firstLine="420"/>
      </w:pPr>
      <w:r>
        <w:rPr>
          <w:rFonts w:hint="eastAsia"/>
        </w:rPr>
        <w:t>本文件起草单位：</w:t>
      </w:r>
      <w:r>
        <w:rPr>
          <w:rFonts w:hint="eastAsia"/>
          <w:szCs w:val="22"/>
        </w:rPr>
        <w:t>中船重工（邯郸）派瑞特种气体有限公司。</w:t>
      </w:r>
    </w:p>
    <w:p w:rsidR="0093503E" w:rsidRDefault="0093503E" w:rsidP="0093503E">
      <w:pPr>
        <w:pStyle w:val="affff6"/>
        <w:ind w:firstLine="420"/>
        <w:rPr>
          <w:rFonts w:hint="eastAsia"/>
        </w:rPr>
      </w:pPr>
      <w:r>
        <w:rPr>
          <w:rFonts w:hint="eastAsia"/>
        </w:rPr>
        <w:t>本文件主要起草人：</w:t>
      </w:r>
      <w:r>
        <w:rPr>
          <w:rFonts w:hint="eastAsia"/>
          <w:szCs w:val="22"/>
        </w:rPr>
        <w:t>罗建志、袁瑞玲、李虹嶙、王蒙蒙、马茜茜</w:t>
      </w:r>
      <w:r>
        <w:rPr>
          <w:rFonts w:hint="eastAsia"/>
          <w:szCs w:val="22"/>
        </w:rPr>
        <w:t>。</w:t>
      </w:r>
    </w:p>
    <w:p w:rsidR="0093503E" w:rsidRDefault="0093503E" w:rsidP="0093503E">
      <w:pPr>
        <w:pStyle w:val="affff6"/>
        <w:ind w:firstLine="420"/>
      </w:pPr>
    </w:p>
    <w:p w:rsidR="0093503E" w:rsidRPr="0093503E" w:rsidRDefault="0093503E" w:rsidP="0093503E">
      <w:pPr>
        <w:pStyle w:val="affff6"/>
        <w:ind w:firstLine="420"/>
        <w:sectPr w:rsidR="0093503E" w:rsidRPr="0093503E" w:rsidSect="004D47D7">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072A11F4A1B41579DA93A0090FC95EC"/>
        </w:placeholder>
      </w:sdtPr>
      <w:sdtEndPr/>
      <w:sdtContent>
        <w:bookmarkStart w:id="25" w:name="NEW_STAND_NAME" w:displacedByCustomXml="prev"/>
        <w:p w:rsidR="00F26B7E" w:rsidRPr="00F26B7E" w:rsidRDefault="0093503E" w:rsidP="0093503E">
          <w:pPr>
            <w:pStyle w:val="afffffffff1"/>
            <w:spacing w:beforeLines="1" w:before="2" w:afterLines="220" w:after="528"/>
          </w:pPr>
          <w:r>
            <w:t>N-苯基-双（三氟甲</w:t>
          </w:r>
          <w:proofErr w:type="gramStart"/>
          <w:r>
            <w:t>磺</w:t>
          </w:r>
          <w:proofErr w:type="gramEnd"/>
          <w:r>
            <w:t>酰）亚胺中杂质的检测</w:t>
          </w:r>
        </w:p>
      </w:sdtContent>
    </w:sdt>
    <w:bookmarkEnd w:id="25" w:displacedByCustomXml="prev"/>
    <w:p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75811265"/>
      <w:r>
        <w:rPr>
          <w:rFonts w:hint="eastAsia"/>
        </w:rPr>
        <w:t>范围</w:t>
      </w:r>
      <w:bookmarkEnd w:id="26"/>
      <w:bookmarkEnd w:id="27"/>
      <w:bookmarkEnd w:id="28"/>
      <w:bookmarkEnd w:id="29"/>
      <w:bookmarkEnd w:id="30"/>
      <w:bookmarkEnd w:id="31"/>
      <w:bookmarkEnd w:id="32"/>
      <w:bookmarkEnd w:id="33"/>
      <w:bookmarkEnd w:id="34"/>
    </w:p>
    <w:p w:rsidR="0093503E" w:rsidRDefault="0093503E" w:rsidP="0093503E">
      <w:pPr>
        <w:pStyle w:val="affff6"/>
        <w:ind w:firstLine="420"/>
      </w:pPr>
      <w:bookmarkStart w:id="35" w:name="_Toc17233326"/>
      <w:bookmarkStart w:id="36" w:name="_Toc17233334"/>
      <w:bookmarkStart w:id="37" w:name="_Toc24884212"/>
      <w:bookmarkStart w:id="38" w:name="_Toc24884219"/>
      <w:bookmarkStart w:id="39" w:name="_Toc26648466"/>
      <w:r>
        <w:rPr>
          <w:rFonts w:hint="eastAsia"/>
        </w:rPr>
        <w:t>本文件规定了99.0</w:t>
      </w:r>
      <w:r>
        <w:t> </w:t>
      </w:r>
      <w:r>
        <w:rPr>
          <w:rFonts w:hint="eastAsia"/>
        </w:rPr>
        <w:t>%的N-苯基-双（三氟甲磺酰）亚胺的检测要求，包括99.0</w:t>
      </w:r>
      <w:r>
        <w:t> </w:t>
      </w:r>
      <w:r>
        <w:rPr>
          <w:rFonts w:hint="eastAsia"/>
        </w:rPr>
        <w:t>%N-苯基-双（三氟甲磺酰）亚胺的试验方法、检验规则及测定结果处理。</w:t>
      </w:r>
    </w:p>
    <w:p w:rsidR="008B0C9C" w:rsidRDefault="0093503E" w:rsidP="0093503E">
      <w:pPr>
        <w:pStyle w:val="affff6"/>
        <w:ind w:firstLine="420"/>
      </w:pPr>
      <w:r>
        <w:rPr>
          <w:rFonts w:hint="eastAsia"/>
        </w:rPr>
        <w:t>本文件适用于</w:t>
      </w:r>
      <w:r>
        <w:t>99.0</w:t>
      </w:r>
      <w:r>
        <w:t> </w:t>
      </w:r>
      <w:r>
        <w:t>%</w:t>
      </w:r>
      <w:r>
        <w:rPr>
          <w:rFonts w:hint="eastAsia"/>
        </w:rPr>
        <w:t>的</w:t>
      </w:r>
      <w:r>
        <w:t>N-</w:t>
      </w:r>
      <w:r>
        <w:rPr>
          <w:rFonts w:hint="eastAsia"/>
        </w:rPr>
        <w:t>苯基</w:t>
      </w:r>
      <w:r>
        <w:t>-</w:t>
      </w:r>
      <w:r>
        <w:rPr>
          <w:rFonts w:hint="eastAsia"/>
        </w:rPr>
        <w:t>双（三氟甲磺酰）亚胺的测定。</w:t>
      </w:r>
    </w:p>
    <w:p w:rsidR="00E2552F" w:rsidRDefault="00E2552F" w:rsidP="00A77CCB">
      <w:pPr>
        <w:pStyle w:val="affc"/>
        <w:spacing w:before="240" w:after="240"/>
      </w:pPr>
      <w:bookmarkStart w:id="40" w:name="_Toc26718931"/>
      <w:bookmarkStart w:id="41" w:name="_Toc26986531"/>
      <w:bookmarkStart w:id="42" w:name="_Toc26986772"/>
      <w:bookmarkStart w:id="43" w:name="_Toc75811266"/>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039B9FC4392D46E2A4C57E11619126F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3503E" w:rsidRDefault="0093503E" w:rsidP="0093503E">
      <w:pPr>
        <w:pStyle w:val="affff6"/>
        <w:ind w:firstLine="420"/>
        <w:rPr>
          <w:rFonts w:hAnsi="宋体"/>
        </w:rPr>
      </w:pPr>
      <w:r>
        <w:rPr>
          <w:rFonts w:hAnsi="宋体" w:hint="eastAsia"/>
        </w:rPr>
        <w:t>GB/T 603  化学试剂试验方法中所用制剂及制品的制备</w:t>
      </w:r>
    </w:p>
    <w:p w:rsidR="0093503E" w:rsidRDefault="0093503E" w:rsidP="0093503E">
      <w:pPr>
        <w:pStyle w:val="affff6"/>
        <w:ind w:firstLine="420"/>
        <w:rPr>
          <w:rFonts w:hAnsi="宋体"/>
        </w:rPr>
      </w:pPr>
      <w:r>
        <w:rPr>
          <w:rFonts w:hAnsi="宋体" w:hint="eastAsia"/>
        </w:rPr>
        <w:t>GB/T 6679  固体化工产品采样通则</w:t>
      </w:r>
    </w:p>
    <w:p w:rsidR="00E052FB" w:rsidRDefault="00E052FB" w:rsidP="00E052FB">
      <w:pPr>
        <w:pStyle w:val="affff6"/>
        <w:ind w:firstLine="420"/>
        <w:rPr>
          <w:rFonts w:hAnsi="宋体"/>
        </w:rPr>
      </w:pPr>
      <w:bookmarkStart w:id="44" w:name="_Toc75811267"/>
      <w:r>
        <w:rPr>
          <w:rFonts w:hAnsi="宋体" w:hint="eastAsia"/>
        </w:rPr>
        <w:t>GB/T 6682  分析实验室用水规格和试验方法</w:t>
      </w:r>
    </w:p>
    <w:p w:rsidR="00B265BC" w:rsidRPr="00E030F9" w:rsidRDefault="00FD59EB" w:rsidP="00FD59EB">
      <w:pPr>
        <w:pStyle w:val="affc"/>
        <w:spacing w:before="240" w:after="240"/>
      </w:pPr>
      <w:r>
        <w:rPr>
          <w:rFonts w:hint="eastAsia"/>
          <w:szCs w:val="21"/>
        </w:rPr>
        <w:t>术语和定义</w:t>
      </w:r>
      <w:bookmarkEnd w:id="44"/>
    </w:p>
    <w:bookmarkStart w:id="45" w:name="_Toc26986532" w:displacedByCustomXml="next"/>
    <w:bookmarkEnd w:id="45" w:displacedByCustomXml="next"/>
    <w:sdt>
      <w:sdtPr>
        <w:rPr>
          <w:rFonts w:hint="eastAsia"/>
        </w:rPr>
        <w:id w:val="-1909835108"/>
        <w:placeholder>
          <w:docPart w:val="BA91B1F1B8E0436980018A1282C4F3C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93503E" w:rsidP="00BA263B">
          <w:pPr>
            <w:pStyle w:val="affff6"/>
            <w:ind w:firstLine="420"/>
          </w:pPr>
          <w:r>
            <w:rPr>
              <w:rFonts w:hint="eastAsia"/>
            </w:rPr>
            <w:t>“本文件没有需要界定的术语和定义。”</w:t>
          </w:r>
        </w:p>
      </w:sdtContent>
    </w:sdt>
    <w:p w:rsidR="002A1260" w:rsidRDefault="0093503E" w:rsidP="0093503E">
      <w:pPr>
        <w:pStyle w:val="affc"/>
        <w:spacing w:before="240" w:after="240"/>
      </w:pPr>
      <w:bookmarkStart w:id="46" w:name="_Toc75811268"/>
      <w:r>
        <w:t>技术要求</w:t>
      </w:r>
      <w:bookmarkEnd w:id="46"/>
    </w:p>
    <w:p w:rsidR="0093503E" w:rsidRDefault="0093503E" w:rsidP="0093503E">
      <w:pPr>
        <w:pStyle w:val="affd"/>
        <w:spacing w:before="120" w:after="120"/>
      </w:pPr>
      <w:r>
        <w:rPr>
          <w:rFonts w:hint="eastAsia"/>
        </w:rPr>
        <w:t>外观</w:t>
      </w:r>
    </w:p>
    <w:p w:rsidR="0093503E" w:rsidRPr="0093503E" w:rsidRDefault="0093503E" w:rsidP="0093503E">
      <w:pPr>
        <w:pStyle w:val="affff6"/>
        <w:ind w:firstLine="420"/>
        <w:rPr>
          <w:rFonts w:hint="eastAsia"/>
        </w:rPr>
      </w:pPr>
      <w:r w:rsidRPr="0093503E">
        <w:rPr>
          <w:rFonts w:hint="eastAsia"/>
        </w:rPr>
        <w:t>无色至淡黄色结晶固体。</w:t>
      </w:r>
    </w:p>
    <w:p w:rsidR="0093503E" w:rsidRPr="0093503E" w:rsidRDefault="0093503E" w:rsidP="0093503E">
      <w:pPr>
        <w:pStyle w:val="affd"/>
        <w:spacing w:before="120" w:after="120"/>
        <w:rPr>
          <w:rFonts w:ascii="宋体" w:eastAsia="宋体" w:hAnsi="宋体"/>
        </w:rPr>
      </w:pPr>
      <w:bookmarkStart w:id="47" w:name="_Toc70077440"/>
      <w:r w:rsidRPr="0093503E">
        <w:rPr>
          <w:rFonts w:ascii="宋体" w:eastAsia="宋体" w:hAnsi="宋体" w:hint="eastAsia"/>
        </w:rPr>
        <w:t>N-苯基-双（三氟甲</w:t>
      </w:r>
      <w:proofErr w:type="gramStart"/>
      <w:r w:rsidRPr="0093503E">
        <w:rPr>
          <w:rFonts w:ascii="宋体" w:eastAsia="宋体" w:hAnsi="宋体" w:hint="eastAsia"/>
        </w:rPr>
        <w:t>磺</w:t>
      </w:r>
      <w:proofErr w:type="gramEnd"/>
      <w:r w:rsidRPr="0093503E">
        <w:rPr>
          <w:rFonts w:ascii="宋体" w:eastAsia="宋体" w:hAnsi="宋体" w:hint="eastAsia"/>
        </w:rPr>
        <w:t>酰）亚胺的质量应符合表1的指标要求。</w:t>
      </w:r>
      <w:bookmarkEnd w:id="47"/>
    </w:p>
    <w:p w:rsidR="0093503E" w:rsidRDefault="0093503E" w:rsidP="0093503E">
      <w:pPr>
        <w:pStyle w:val="affffffff7"/>
        <w:numPr>
          <w:ilvl w:val="0"/>
          <w:numId w:val="0"/>
        </w:numPr>
        <w:spacing w:beforeLines="100" w:before="240"/>
        <w:jc w:val="center"/>
        <w:rPr>
          <w:rFonts w:ascii="黑体" w:eastAsia="黑体" w:hAnsi="黑体" w:hint="eastAsia"/>
        </w:rPr>
      </w:pPr>
      <w:r>
        <w:rPr>
          <w:rFonts w:ascii="黑体" w:eastAsia="黑体" w:hAnsi="黑体" w:hint="eastAsia"/>
        </w:rPr>
        <w:t>表1 N-苯基-双（三氟甲</w:t>
      </w:r>
      <w:proofErr w:type="gramStart"/>
      <w:r>
        <w:rPr>
          <w:rFonts w:ascii="黑体" w:eastAsia="黑体" w:hAnsi="黑体" w:hint="eastAsia"/>
        </w:rPr>
        <w:t>磺</w:t>
      </w:r>
      <w:proofErr w:type="gramEnd"/>
      <w:r>
        <w:rPr>
          <w:rFonts w:ascii="黑体" w:eastAsia="黑体" w:hAnsi="黑体" w:hint="eastAsia"/>
        </w:rPr>
        <w:t>酰）亚胺质量指标要求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3898"/>
      </w:tblGrid>
      <w:tr w:rsidR="0093503E" w:rsidTr="0093503E">
        <w:trPr>
          <w:cantSplit/>
          <w:trHeight w:val="340"/>
          <w:jc w:val="center"/>
        </w:trPr>
        <w:tc>
          <w:tcPr>
            <w:tcW w:w="2914"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项 目</w:t>
            </w:r>
          </w:p>
        </w:tc>
        <w:tc>
          <w:tcPr>
            <w:tcW w:w="2086"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指 标</w:t>
            </w:r>
          </w:p>
        </w:tc>
      </w:tr>
      <w:tr w:rsidR="0093503E" w:rsidTr="0093503E">
        <w:trPr>
          <w:cantSplit/>
          <w:trHeight w:val="340"/>
          <w:jc w:val="center"/>
        </w:trPr>
        <w:tc>
          <w:tcPr>
            <w:tcW w:w="2914"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纯度</w:t>
            </w:r>
          </w:p>
        </w:tc>
        <w:tc>
          <w:tcPr>
            <w:tcW w:w="2086"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≥99.0</w:t>
            </w:r>
            <w:r>
              <w:rPr>
                <w:rFonts w:ascii="MS Mincho" w:eastAsia="MS Mincho" w:hAnsi="MS Mincho" w:cs="MS Mincho" w:hint="eastAsia"/>
                <w:kern w:val="2"/>
                <w:sz w:val="18"/>
                <w:szCs w:val="18"/>
              </w:rPr>
              <w:t> </w:t>
            </w:r>
            <w:r>
              <w:rPr>
                <w:rFonts w:hAnsi="宋体" w:hint="eastAsia"/>
                <w:kern w:val="2"/>
                <w:sz w:val="18"/>
                <w:szCs w:val="18"/>
              </w:rPr>
              <w:t>%</w:t>
            </w:r>
          </w:p>
        </w:tc>
      </w:tr>
      <w:tr w:rsidR="0093503E" w:rsidTr="0093503E">
        <w:trPr>
          <w:cantSplit/>
          <w:trHeight w:val="340"/>
          <w:jc w:val="center"/>
        </w:trPr>
        <w:tc>
          <w:tcPr>
            <w:tcW w:w="2914"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苯胺</w:t>
            </w:r>
          </w:p>
        </w:tc>
        <w:tc>
          <w:tcPr>
            <w:tcW w:w="2086"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≤0.30</w:t>
            </w:r>
            <w:r>
              <w:rPr>
                <w:rFonts w:ascii="MS Mincho" w:eastAsia="MS Mincho" w:hAnsi="MS Mincho" w:cs="MS Mincho" w:hint="eastAsia"/>
                <w:kern w:val="2"/>
                <w:sz w:val="18"/>
                <w:szCs w:val="18"/>
              </w:rPr>
              <w:t> </w:t>
            </w:r>
            <w:r>
              <w:rPr>
                <w:rFonts w:hAnsi="宋体" w:hint="eastAsia"/>
                <w:kern w:val="2"/>
                <w:sz w:val="18"/>
                <w:szCs w:val="18"/>
              </w:rPr>
              <w:t>%</w:t>
            </w:r>
          </w:p>
        </w:tc>
      </w:tr>
      <w:tr w:rsidR="0093503E" w:rsidTr="0093503E">
        <w:trPr>
          <w:cantSplit/>
          <w:trHeight w:val="340"/>
          <w:jc w:val="center"/>
        </w:trPr>
        <w:tc>
          <w:tcPr>
            <w:tcW w:w="2914"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N-苯基三氟甲基磺酰亚胺</w:t>
            </w:r>
          </w:p>
        </w:tc>
        <w:tc>
          <w:tcPr>
            <w:tcW w:w="2086"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≤0.50</w:t>
            </w:r>
            <w:r>
              <w:rPr>
                <w:rFonts w:ascii="MS Mincho" w:eastAsia="MS Mincho" w:hAnsi="MS Mincho" w:cs="MS Mincho" w:hint="eastAsia"/>
                <w:kern w:val="2"/>
                <w:sz w:val="18"/>
                <w:szCs w:val="18"/>
              </w:rPr>
              <w:t> </w:t>
            </w:r>
            <w:r>
              <w:rPr>
                <w:rFonts w:hAnsi="宋体" w:hint="eastAsia"/>
                <w:kern w:val="2"/>
                <w:sz w:val="18"/>
                <w:szCs w:val="18"/>
              </w:rPr>
              <w:t>%</w:t>
            </w:r>
          </w:p>
        </w:tc>
      </w:tr>
      <w:tr w:rsidR="0093503E" w:rsidTr="0093503E">
        <w:trPr>
          <w:cantSplit/>
          <w:trHeight w:val="340"/>
          <w:jc w:val="center"/>
        </w:trPr>
        <w:tc>
          <w:tcPr>
            <w:tcW w:w="2914"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水份</w:t>
            </w:r>
          </w:p>
        </w:tc>
        <w:tc>
          <w:tcPr>
            <w:tcW w:w="2086" w:type="pct"/>
            <w:tcBorders>
              <w:top w:val="single" w:sz="4" w:space="0" w:color="auto"/>
              <w:left w:val="single" w:sz="4" w:space="0" w:color="auto"/>
              <w:bottom w:val="single" w:sz="4" w:space="0" w:color="auto"/>
              <w:right w:val="single" w:sz="4" w:space="0" w:color="auto"/>
            </w:tcBorders>
            <w:vAlign w:val="center"/>
            <w:hideMark/>
          </w:tcPr>
          <w:p w:rsidR="0093503E" w:rsidRDefault="0093503E">
            <w:pPr>
              <w:pStyle w:val="afffffffffff4"/>
              <w:ind w:firstLineChars="0" w:firstLine="0"/>
              <w:jc w:val="center"/>
              <w:rPr>
                <w:rFonts w:hAnsi="宋体" w:hint="eastAsia"/>
                <w:kern w:val="2"/>
                <w:sz w:val="18"/>
                <w:szCs w:val="18"/>
              </w:rPr>
            </w:pPr>
            <w:r>
              <w:rPr>
                <w:rFonts w:hAnsi="宋体" w:hint="eastAsia"/>
                <w:kern w:val="2"/>
                <w:sz w:val="18"/>
                <w:szCs w:val="18"/>
              </w:rPr>
              <w:t>≤0.20</w:t>
            </w:r>
            <w:r>
              <w:rPr>
                <w:rFonts w:ascii="MS Mincho" w:eastAsia="MS Mincho" w:hAnsi="MS Mincho" w:cs="MS Mincho" w:hint="eastAsia"/>
                <w:kern w:val="2"/>
                <w:sz w:val="18"/>
                <w:szCs w:val="18"/>
              </w:rPr>
              <w:t> </w:t>
            </w:r>
            <w:r>
              <w:rPr>
                <w:rFonts w:hAnsi="宋体" w:hint="eastAsia"/>
                <w:kern w:val="2"/>
                <w:sz w:val="18"/>
                <w:szCs w:val="18"/>
              </w:rPr>
              <w:t>%</w:t>
            </w:r>
          </w:p>
        </w:tc>
      </w:tr>
    </w:tbl>
    <w:p w:rsidR="001D212F" w:rsidRDefault="0093503E" w:rsidP="0093503E">
      <w:pPr>
        <w:pStyle w:val="affc"/>
        <w:spacing w:before="240" w:after="240"/>
      </w:pPr>
      <w:bookmarkStart w:id="48" w:name="_Toc75811269"/>
      <w:r>
        <w:t>警示</w:t>
      </w:r>
      <w:bookmarkEnd w:id="48"/>
    </w:p>
    <w:p w:rsidR="0093503E" w:rsidRPr="008E49D4" w:rsidRDefault="0093503E" w:rsidP="0093503E">
      <w:pPr>
        <w:pStyle w:val="affff6"/>
        <w:ind w:firstLine="420"/>
      </w:pPr>
      <w:r w:rsidRPr="008E49D4">
        <w:rPr>
          <w:rFonts w:ascii="黑体" w:eastAsia="黑体" w:hAnsi="黑体" w:hint="eastAsia"/>
        </w:rPr>
        <w:t>本文件所使用的部分试剂具有腐蚀性，操作者须谨慎小心！如溅到皮肤上应使用水冲洗，严重者送医治疗。</w:t>
      </w:r>
    </w:p>
    <w:p w:rsidR="0093503E" w:rsidRDefault="0093503E" w:rsidP="0093503E">
      <w:pPr>
        <w:pStyle w:val="affc"/>
        <w:spacing w:before="240" w:after="240"/>
      </w:pPr>
      <w:bookmarkStart w:id="49" w:name="_Toc75811270"/>
      <w:r>
        <w:rPr>
          <w:rFonts w:hint="eastAsia"/>
        </w:rPr>
        <w:t>一般规定</w:t>
      </w:r>
      <w:bookmarkEnd w:id="49"/>
    </w:p>
    <w:p w:rsidR="0093503E" w:rsidRPr="008E49D4" w:rsidRDefault="0093503E" w:rsidP="0093503E">
      <w:pPr>
        <w:pStyle w:val="affff6"/>
        <w:ind w:firstLine="420"/>
      </w:pPr>
      <w:r w:rsidRPr="008E49D4">
        <w:rPr>
          <w:rFonts w:hint="eastAsia"/>
        </w:rPr>
        <w:t>本标准试验所用标准滴定溶液和水，在没有注明其他要求时，均指分析纯试剂和GB/T 6682-2008规定的一级水。</w:t>
      </w:r>
    </w:p>
    <w:p w:rsidR="0093503E" w:rsidRPr="008E49D4" w:rsidRDefault="0093503E" w:rsidP="0093503E">
      <w:pPr>
        <w:pStyle w:val="affff6"/>
        <w:ind w:firstLine="420"/>
        <w:rPr>
          <w:rFonts w:hint="eastAsia"/>
        </w:rPr>
      </w:pPr>
      <w:r w:rsidRPr="008E49D4">
        <w:rPr>
          <w:rFonts w:hint="eastAsia"/>
        </w:rPr>
        <w:t>试验中所需标准滴定溶液、杂质标准滴定溶液、制剂和制品，在没有注明其他要求时均按GB/T 601、GB/T 603之规定制备。</w:t>
      </w:r>
    </w:p>
    <w:p w:rsidR="0093503E" w:rsidRDefault="0093503E" w:rsidP="0093503E">
      <w:pPr>
        <w:pStyle w:val="affc"/>
        <w:spacing w:before="240" w:after="240"/>
      </w:pPr>
      <w:bookmarkStart w:id="50" w:name="_Toc75811271"/>
      <w:r>
        <w:rPr>
          <w:rFonts w:hint="eastAsia"/>
        </w:rPr>
        <w:lastRenderedPageBreak/>
        <w:t>N-苯基-双（三氟甲</w:t>
      </w:r>
      <w:proofErr w:type="gramStart"/>
      <w:r>
        <w:rPr>
          <w:rFonts w:hint="eastAsia"/>
        </w:rPr>
        <w:t>磺</w:t>
      </w:r>
      <w:proofErr w:type="gramEnd"/>
      <w:r>
        <w:rPr>
          <w:rFonts w:hint="eastAsia"/>
        </w:rPr>
        <w:t>酰）亚胺含量的测定</w:t>
      </w:r>
      <w:bookmarkEnd w:id="50"/>
    </w:p>
    <w:p w:rsidR="0093503E" w:rsidRDefault="0093503E" w:rsidP="0093503E">
      <w:pPr>
        <w:pStyle w:val="affd"/>
        <w:spacing w:before="120" w:after="120"/>
      </w:pPr>
      <w:r>
        <w:rPr>
          <w:rFonts w:hint="eastAsia"/>
        </w:rPr>
        <w:t>原理</w:t>
      </w:r>
    </w:p>
    <w:p w:rsidR="0093503E" w:rsidRPr="0093503E" w:rsidRDefault="0093503E" w:rsidP="0093503E">
      <w:pPr>
        <w:pStyle w:val="affff6"/>
        <w:ind w:firstLine="420"/>
      </w:pPr>
      <w:r w:rsidRPr="0093503E">
        <w:rPr>
          <w:rFonts w:hint="eastAsia"/>
        </w:rPr>
        <w:t>试样用二氯甲烷溶解后，高效液相进行测定，以面积归一法作为分析方法。</w:t>
      </w:r>
    </w:p>
    <w:p w:rsidR="0093503E" w:rsidRPr="0093503E" w:rsidRDefault="0093503E" w:rsidP="0093503E">
      <w:pPr>
        <w:pStyle w:val="affd"/>
        <w:spacing w:before="120" w:after="120"/>
        <w:rPr>
          <w:rFonts w:hint="eastAsia"/>
        </w:rPr>
      </w:pPr>
      <w:bookmarkStart w:id="51" w:name="_Toc70077443"/>
      <w:bookmarkStart w:id="52" w:name="_Toc47098615"/>
      <w:bookmarkStart w:id="53" w:name="_Toc73604891"/>
      <w:bookmarkStart w:id="54" w:name="_Toc73958458"/>
      <w:r w:rsidRPr="0093503E">
        <w:rPr>
          <w:rFonts w:hint="eastAsia"/>
        </w:rPr>
        <w:t>仪器</w:t>
      </w:r>
      <w:bookmarkEnd w:id="51"/>
      <w:bookmarkEnd w:id="52"/>
      <w:r w:rsidRPr="0093503E">
        <w:rPr>
          <w:rFonts w:hint="eastAsia"/>
        </w:rPr>
        <w:t>及试剂</w:t>
      </w:r>
      <w:bookmarkEnd w:id="53"/>
      <w:bookmarkEnd w:id="54"/>
    </w:p>
    <w:p w:rsidR="0093503E" w:rsidRPr="0093503E" w:rsidRDefault="0093503E" w:rsidP="0093503E">
      <w:pPr>
        <w:pStyle w:val="affff6"/>
        <w:ind w:firstLine="420"/>
        <w:rPr>
          <w:rFonts w:hint="eastAsia"/>
        </w:rPr>
      </w:pPr>
      <w:r w:rsidRPr="0093503E">
        <w:rPr>
          <w:rFonts w:hint="eastAsia"/>
        </w:rPr>
        <w:t>仪器：高效液相色谱。</w:t>
      </w:r>
    </w:p>
    <w:p w:rsidR="0093503E" w:rsidRPr="0093503E" w:rsidRDefault="0093503E" w:rsidP="0093503E">
      <w:pPr>
        <w:pStyle w:val="affff6"/>
        <w:ind w:firstLine="420"/>
        <w:rPr>
          <w:rFonts w:hint="eastAsia"/>
          <w:bCs/>
        </w:rPr>
      </w:pPr>
      <w:r w:rsidRPr="0093503E">
        <w:rPr>
          <w:rFonts w:hint="eastAsia"/>
        </w:rPr>
        <w:t>试剂：</w:t>
      </w:r>
      <w:r w:rsidRPr="0093503E">
        <w:rPr>
          <w:rFonts w:hint="eastAsia"/>
          <w:bCs/>
        </w:rPr>
        <w:t xml:space="preserve">二氯甲烷、正己烷、乙酸乙酯、高效液相用1 </w:t>
      </w:r>
      <w:r w:rsidRPr="0093503E">
        <w:rPr>
          <w:bCs/>
        </w:rPr>
        <w:t>μ</w:t>
      </w:r>
      <w:r w:rsidRPr="0093503E">
        <w:rPr>
          <w:rFonts w:hint="eastAsia"/>
          <w:bCs/>
        </w:rPr>
        <w:t>L注射器。</w:t>
      </w:r>
    </w:p>
    <w:p w:rsidR="0093503E" w:rsidRPr="0093503E" w:rsidRDefault="0093503E" w:rsidP="0093503E">
      <w:pPr>
        <w:pStyle w:val="affd"/>
        <w:spacing w:before="120" w:after="120"/>
        <w:rPr>
          <w:rFonts w:hint="eastAsia"/>
        </w:rPr>
      </w:pPr>
      <w:bookmarkStart w:id="55" w:name="_Toc73604892"/>
      <w:bookmarkStart w:id="56" w:name="_Toc70077444"/>
      <w:bookmarkStart w:id="57" w:name="_Toc47098616"/>
      <w:bookmarkStart w:id="58" w:name="_Toc73958459"/>
      <w:r w:rsidRPr="0093503E">
        <w:rPr>
          <w:rFonts w:hint="eastAsia"/>
        </w:rPr>
        <w:t>测定条件</w:t>
      </w:r>
      <w:bookmarkEnd w:id="55"/>
      <w:bookmarkEnd w:id="56"/>
      <w:bookmarkEnd w:id="57"/>
      <w:bookmarkEnd w:id="58"/>
    </w:p>
    <w:p w:rsidR="0093503E" w:rsidRPr="0093503E" w:rsidRDefault="0093503E" w:rsidP="0093503E">
      <w:pPr>
        <w:pStyle w:val="affff6"/>
        <w:ind w:firstLine="420"/>
        <w:rPr>
          <w:rFonts w:hint="eastAsia"/>
        </w:rPr>
      </w:pPr>
      <w:r w:rsidRPr="0093503E">
        <w:rPr>
          <w:rFonts w:hint="eastAsia"/>
        </w:rPr>
        <w:t>按GB/T 6679-2003规定的</w:t>
      </w:r>
      <w:r w:rsidRPr="0093503E">
        <w:rPr>
          <w:rFonts w:ascii="ˎ̥" w:hAnsi="ˎ̥" w:hint="eastAsia"/>
          <w:color w:val="000000"/>
        </w:rPr>
        <w:t>取样</w:t>
      </w:r>
      <w:r w:rsidRPr="0093503E">
        <w:rPr>
          <w:rFonts w:hint="eastAsia"/>
        </w:rPr>
        <w:t>方法进行取样。测定推荐条件如下：</w:t>
      </w:r>
    </w:p>
    <w:p w:rsidR="0093503E" w:rsidRPr="0093503E" w:rsidRDefault="0093503E" w:rsidP="0093503E">
      <w:pPr>
        <w:pStyle w:val="affff6"/>
        <w:ind w:firstLine="420"/>
        <w:rPr>
          <w:rFonts w:hint="eastAsia"/>
        </w:rPr>
      </w:pPr>
      <w:r w:rsidRPr="0093503E">
        <w:rPr>
          <w:rFonts w:hint="eastAsia"/>
        </w:rPr>
        <w:t>流动相：乙酸乙酯：正己烷=1:4。</w:t>
      </w:r>
    </w:p>
    <w:p w:rsidR="0093503E" w:rsidRPr="0093503E" w:rsidRDefault="0093503E" w:rsidP="0093503E">
      <w:pPr>
        <w:pStyle w:val="affff6"/>
        <w:ind w:firstLine="420"/>
        <w:rPr>
          <w:rFonts w:hint="eastAsia"/>
        </w:rPr>
      </w:pPr>
      <w:r w:rsidRPr="0093503E">
        <w:rPr>
          <w:rFonts w:hint="eastAsia"/>
        </w:rPr>
        <w:t>流速：1 mL/min。</w:t>
      </w:r>
    </w:p>
    <w:p w:rsidR="0093503E" w:rsidRPr="0093503E" w:rsidRDefault="0093503E" w:rsidP="0093503E">
      <w:pPr>
        <w:pStyle w:val="affff6"/>
        <w:ind w:firstLine="420"/>
        <w:rPr>
          <w:rFonts w:hint="eastAsia"/>
        </w:rPr>
      </w:pPr>
      <w:r w:rsidRPr="0093503E">
        <w:rPr>
          <w:rFonts w:hint="eastAsia"/>
        </w:rPr>
        <w:t xml:space="preserve">柱型：SIL-100 </w:t>
      </w:r>
      <w:r w:rsidRPr="0093503E">
        <w:t>Å</w:t>
      </w:r>
      <w:r w:rsidRPr="0093503E">
        <w:rPr>
          <w:rFonts w:hint="eastAsia"/>
        </w:rPr>
        <w:t>。</w:t>
      </w:r>
    </w:p>
    <w:p w:rsidR="0093503E" w:rsidRPr="0093503E" w:rsidRDefault="0093503E" w:rsidP="0093503E">
      <w:pPr>
        <w:pStyle w:val="affff6"/>
        <w:ind w:firstLine="420"/>
        <w:rPr>
          <w:rFonts w:hint="eastAsia"/>
        </w:rPr>
      </w:pPr>
      <w:r w:rsidRPr="0093503E">
        <w:rPr>
          <w:rFonts w:hint="eastAsia"/>
        </w:rPr>
        <w:t xml:space="preserve">柱温：40 </w:t>
      </w:r>
      <w:r w:rsidRPr="0093503E">
        <w:rPr>
          <w:rFonts w:cs="宋体" w:hint="eastAsia"/>
        </w:rPr>
        <w:t>℃。</w:t>
      </w:r>
    </w:p>
    <w:p w:rsidR="0093503E" w:rsidRPr="0093503E" w:rsidRDefault="0093503E" w:rsidP="0093503E">
      <w:pPr>
        <w:pStyle w:val="affff6"/>
        <w:ind w:firstLine="420"/>
        <w:rPr>
          <w:rFonts w:hint="eastAsia"/>
        </w:rPr>
      </w:pPr>
      <w:r w:rsidRPr="0093503E">
        <w:rPr>
          <w:rFonts w:hint="eastAsia"/>
        </w:rPr>
        <w:t>波长：254 nm。</w:t>
      </w:r>
    </w:p>
    <w:p w:rsidR="0093503E" w:rsidRPr="0093503E" w:rsidRDefault="0093503E" w:rsidP="0093503E">
      <w:pPr>
        <w:pStyle w:val="affff6"/>
        <w:ind w:firstLine="420"/>
        <w:rPr>
          <w:rFonts w:hint="eastAsia"/>
        </w:rPr>
      </w:pPr>
      <w:r w:rsidRPr="0093503E">
        <w:rPr>
          <w:rFonts w:hint="eastAsia"/>
        </w:rPr>
        <w:t xml:space="preserve">进样量：20 </w:t>
      </w:r>
      <w:r w:rsidRPr="0093503E">
        <w:t>μ</w:t>
      </w:r>
      <w:r w:rsidRPr="0093503E">
        <w:rPr>
          <w:rFonts w:hint="eastAsia"/>
        </w:rPr>
        <w:t>L。</w:t>
      </w:r>
    </w:p>
    <w:p w:rsidR="0093503E" w:rsidRPr="0093503E" w:rsidRDefault="0093503E" w:rsidP="0093503E">
      <w:pPr>
        <w:pStyle w:val="affff6"/>
        <w:ind w:firstLine="420"/>
        <w:rPr>
          <w:rFonts w:hint="eastAsia"/>
        </w:rPr>
      </w:pPr>
      <w:r w:rsidRPr="0093503E">
        <w:rPr>
          <w:rFonts w:hint="eastAsia"/>
        </w:rPr>
        <w:t>样品浓度：2 mg/mL。</w:t>
      </w:r>
    </w:p>
    <w:p w:rsidR="0093503E" w:rsidRPr="0093503E" w:rsidRDefault="0093503E" w:rsidP="0093503E">
      <w:pPr>
        <w:pStyle w:val="affff6"/>
        <w:ind w:firstLine="420"/>
        <w:rPr>
          <w:rFonts w:hint="eastAsia"/>
        </w:rPr>
      </w:pPr>
      <w:r w:rsidRPr="0093503E">
        <w:rPr>
          <w:rFonts w:hint="eastAsia"/>
        </w:rPr>
        <w:t>测试时间：30 min；。</w:t>
      </w:r>
    </w:p>
    <w:p w:rsidR="0093503E" w:rsidRPr="0093503E" w:rsidRDefault="0093503E" w:rsidP="0093503E">
      <w:pPr>
        <w:pStyle w:val="affd"/>
        <w:spacing w:before="120" w:after="120"/>
        <w:rPr>
          <w:rFonts w:hint="eastAsia"/>
        </w:rPr>
      </w:pPr>
      <w:bookmarkStart w:id="59" w:name="_Toc73604893"/>
      <w:bookmarkStart w:id="60" w:name="_Toc70077445"/>
      <w:bookmarkStart w:id="61" w:name="_Toc47098617"/>
      <w:bookmarkStart w:id="62" w:name="_Toc73958460"/>
      <w:r w:rsidRPr="0093503E">
        <w:rPr>
          <w:rFonts w:hint="eastAsia"/>
        </w:rPr>
        <w:t>测定步骤</w:t>
      </w:r>
      <w:bookmarkEnd w:id="59"/>
      <w:bookmarkEnd w:id="60"/>
      <w:bookmarkEnd w:id="61"/>
      <w:bookmarkEnd w:id="62"/>
    </w:p>
    <w:p w:rsidR="0093503E" w:rsidRPr="0093503E" w:rsidRDefault="0093503E" w:rsidP="0093503E">
      <w:pPr>
        <w:pStyle w:val="affff6"/>
        <w:ind w:firstLine="420"/>
        <w:rPr>
          <w:rFonts w:hint="eastAsia"/>
        </w:rPr>
      </w:pPr>
      <w:r w:rsidRPr="0093503E">
        <w:rPr>
          <w:rFonts w:hint="eastAsia"/>
        </w:rPr>
        <w:t>取10 mg样品溶于5 mL的二氯甲烷溶液中，用0.45 μm有机滤头过滤后，取20 μL溶液进样，开始收集数据后30 min，完成测定。</w:t>
      </w:r>
    </w:p>
    <w:p w:rsidR="0093503E" w:rsidRPr="0093503E" w:rsidRDefault="0093503E" w:rsidP="0093503E">
      <w:pPr>
        <w:pStyle w:val="affd"/>
        <w:spacing w:before="120" w:after="120"/>
        <w:rPr>
          <w:rFonts w:hint="eastAsia"/>
        </w:rPr>
      </w:pPr>
      <w:bookmarkStart w:id="63" w:name="_Toc73604894"/>
      <w:bookmarkStart w:id="64" w:name="_Toc73958461"/>
      <w:r w:rsidRPr="0093503E">
        <w:rPr>
          <w:rFonts w:hint="eastAsia"/>
        </w:rPr>
        <w:t>结果计算</w:t>
      </w:r>
      <w:bookmarkEnd w:id="63"/>
      <w:bookmarkEnd w:id="64"/>
    </w:p>
    <w:p w:rsidR="0093503E" w:rsidRPr="0093503E" w:rsidRDefault="0093503E" w:rsidP="0093503E">
      <w:pPr>
        <w:pStyle w:val="affff6"/>
        <w:ind w:firstLine="420"/>
        <w:rPr>
          <w:rFonts w:hint="eastAsia"/>
        </w:rPr>
      </w:pPr>
      <w:r w:rsidRPr="0093503E">
        <w:rPr>
          <w:rFonts w:hint="eastAsia"/>
        </w:rPr>
        <w:t>N-苯基-双（三氟甲磺酰）亚胺纯度计算：</w:t>
      </w:r>
    </w:p>
    <w:p w:rsidR="0093503E" w:rsidRPr="0093503E" w:rsidRDefault="0093503E" w:rsidP="0093503E">
      <w:pPr>
        <w:pStyle w:val="affff6"/>
        <w:ind w:firstLine="420"/>
        <w:rPr>
          <w:rFonts w:hint="eastAsia"/>
        </w:rPr>
      </w:pPr>
      <w:r w:rsidRPr="0093503E">
        <w:t>χ</w:t>
      </w:r>
      <w:r w:rsidRPr="0093503E">
        <w:rPr>
          <w:rFonts w:hint="eastAsia"/>
        </w:rPr>
        <w:t>=1</w:t>
      </w:r>
      <w:r w:rsidRPr="0093503E">
        <w:t>—</w:t>
      </w:r>
      <w:r w:rsidRPr="0093503E">
        <w:rPr>
          <w:rFonts w:hint="eastAsia"/>
        </w:rPr>
        <w:t>(m</w:t>
      </w:r>
      <w:r w:rsidRPr="0093503E">
        <w:rPr>
          <w:rFonts w:hint="eastAsia"/>
          <w:vertAlign w:val="subscript"/>
        </w:rPr>
        <w:t>1</w:t>
      </w:r>
      <w:r w:rsidRPr="0093503E">
        <w:rPr>
          <w:rFonts w:hint="eastAsia"/>
        </w:rPr>
        <w:t>+m</w:t>
      </w:r>
      <w:r w:rsidRPr="0093503E">
        <w:rPr>
          <w:rFonts w:hint="eastAsia"/>
          <w:vertAlign w:val="subscript"/>
        </w:rPr>
        <w:t>2</w:t>
      </w:r>
      <w:r w:rsidRPr="0093503E">
        <w:rPr>
          <w:rFonts w:hint="eastAsia"/>
        </w:rPr>
        <w:t>)/0.04-m</w:t>
      </w:r>
      <w:r w:rsidRPr="0093503E">
        <w:rPr>
          <w:rFonts w:hint="eastAsia"/>
          <w:vertAlign w:val="subscript"/>
        </w:rPr>
        <w:t>3</w:t>
      </w:r>
      <w:r>
        <w:rPr>
          <w:rFonts w:hint="eastAsia"/>
          <w:vertAlign w:val="subscript"/>
        </w:rPr>
        <w:t>；</w:t>
      </w:r>
    </w:p>
    <w:p w:rsidR="0093503E" w:rsidRPr="0093503E" w:rsidRDefault="0093503E" w:rsidP="0093503E">
      <w:pPr>
        <w:pStyle w:val="affff6"/>
        <w:ind w:firstLine="420"/>
        <w:rPr>
          <w:rFonts w:hint="eastAsia"/>
        </w:rPr>
      </w:pPr>
      <w:r w:rsidRPr="0093503E">
        <w:t>χ—</w:t>
      </w:r>
      <w:r w:rsidRPr="0093503E">
        <w:rPr>
          <w:rFonts w:hint="eastAsia"/>
        </w:rPr>
        <w:t>N-苯基-双（三氟甲磺酰）亚胺质量分数</w:t>
      </w:r>
      <w:r>
        <w:rPr>
          <w:rFonts w:hint="eastAsia"/>
        </w:rPr>
        <w:t>；</w:t>
      </w:r>
    </w:p>
    <w:p w:rsidR="0093503E" w:rsidRPr="0093503E" w:rsidRDefault="0093503E" w:rsidP="0093503E">
      <w:pPr>
        <w:pStyle w:val="affff6"/>
        <w:ind w:firstLine="420"/>
        <w:rPr>
          <w:rFonts w:hint="eastAsia"/>
          <w:szCs w:val="24"/>
        </w:rPr>
      </w:pPr>
      <w:r w:rsidRPr="0093503E">
        <w:rPr>
          <w:rFonts w:hint="eastAsia"/>
        </w:rPr>
        <w:t>m</w:t>
      </w:r>
      <w:r w:rsidRPr="0093503E">
        <w:rPr>
          <w:rFonts w:hint="eastAsia"/>
          <w:vertAlign w:val="subscript"/>
        </w:rPr>
        <w:t>1</w:t>
      </w:r>
      <w:r w:rsidRPr="0093503E">
        <w:t>—</w:t>
      </w:r>
      <w:r w:rsidRPr="0093503E">
        <w:rPr>
          <w:rFonts w:hint="eastAsia"/>
        </w:rPr>
        <w:t>苯胺的质量（mg）</w:t>
      </w:r>
      <w:r>
        <w:rPr>
          <w:rFonts w:hint="eastAsia"/>
        </w:rPr>
        <w:t>；</w:t>
      </w:r>
    </w:p>
    <w:p w:rsidR="0093503E" w:rsidRPr="0093503E" w:rsidRDefault="0093503E" w:rsidP="0093503E">
      <w:pPr>
        <w:pStyle w:val="affff6"/>
        <w:ind w:firstLine="420"/>
        <w:rPr>
          <w:rFonts w:hint="eastAsia"/>
        </w:rPr>
      </w:pPr>
      <w:r w:rsidRPr="0093503E">
        <w:rPr>
          <w:rFonts w:hint="eastAsia"/>
        </w:rPr>
        <w:t>m</w:t>
      </w:r>
      <w:r w:rsidRPr="0093503E">
        <w:rPr>
          <w:rFonts w:hint="eastAsia"/>
          <w:vertAlign w:val="subscript"/>
        </w:rPr>
        <w:t>2</w:t>
      </w:r>
      <w:r w:rsidRPr="0093503E">
        <w:t>—</w:t>
      </w:r>
      <w:r w:rsidRPr="0093503E">
        <w:rPr>
          <w:rFonts w:hint="eastAsia"/>
        </w:rPr>
        <w:t>N-苯基三氟甲磺酰亚胺的质量（mg）</w:t>
      </w:r>
      <w:r>
        <w:rPr>
          <w:rFonts w:hint="eastAsia"/>
        </w:rPr>
        <w:t>；</w:t>
      </w:r>
    </w:p>
    <w:p w:rsidR="0093503E" w:rsidRPr="0093503E" w:rsidRDefault="0093503E" w:rsidP="0093503E">
      <w:pPr>
        <w:pStyle w:val="affff6"/>
        <w:ind w:firstLine="420"/>
        <w:rPr>
          <w:rFonts w:hint="eastAsia"/>
        </w:rPr>
      </w:pPr>
      <w:r w:rsidRPr="0093503E">
        <w:rPr>
          <w:rFonts w:hint="eastAsia"/>
        </w:rPr>
        <w:t>m</w:t>
      </w:r>
      <w:r w:rsidRPr="0093503E">
        <w:rPr>
          <w:rFonts w:hint="eastAsia"/>
          <w:vertAlign w:val="subscript"/>
        </w:rPr>
        <w:t>3</w:t>
      </w:r>
      <w:r w:rsidRPr="0093503E">
        <w:t>—</w:t>
      </w:r>
      <w:r w:rsidRPr="0093503E">
        <w:rPr>
          <w:rFonts w:hint="eastAsia"/>
        </w:rPr>
        <w:t>水份含量</w:t>
      </w:r>
      <w:r>
        <w:rPr>
          <w:rFonts w:hint="eastAsia"/>
        </w:rPr>
        <w:t>。</w:t>
      </w:r>
    </w:p>
    <w:p w:rsidR="0093503E" w:rsidRPr="0093503E" w:rsidRDefault="0093503E" w:rsidP="0093503E">
      <w:pPr>
        <w:pStyle w:val="affc"/>
        <w:spacing w:before="240" w:after="240"/>
        <w:rPr>
          <w:rFonts w:hint="eastAsia"/>
        </w:rPr>
      </w:pPr>
      <w:bookmarkStart w:id="65" w:name="_Toc73604895"/>
      <w:bookmarkStart w:id="66" w:name="_Toc70077447"/>
      <w:bookmarkStart w:id="67" w:name="_Toc47098622"/>
      <w:bookmarkStart w:id="68" w:name="_Toc73958462"/>
      <w:bookmarkStart w:id="69" w:name="_Toc73958562"/>
      <w:bookmarkStart w:id="70" w:name="_Toc75811272"/>
      <w:r w:rsidRPr="0093503E">
        <w:rPr>
          <w:rFonts w:hint="eastAsia"/>
        </w:rPr>
        <w:t>水分的测定</w:t>
      </w:r>
      <w:bookmarkEnd w:id="65"/>
      <w:bookmarkEnd w:id="66"/>
      <w:bookmarkEnd w:id="67"/>
      <w:bookmarkEnd w:id="68"/>
      <w:bookmarkEnd w:id="69"/>
      <w:bookmarkEnd w:id="70"/>
    </w:p>
    <w:p w:rsidR="0093503E" w:rsidRPr="0093503E" w:rsidRDefault="0093503E" w:rsidP="0093503E">
      <w:pPr>
        <w:pStyle w:val="affd"/>
        <w:spacing w:before="120" w:after="120"/>
        <w:rPr>
          <w:rFonts w:hint="eastAsia"/>
        </w:rPr>
      </w:pPr>
      <w:bookmarkStart w:id="71" w:name="_Toc73604896"/>
      <w:bookmarkStart w:id="72" w:name="_Toc70077448"/>
      <w:bookmarkStart w:id="73" w:name="_Toc47098623"/>
      <w:bookmarkStart w:id="74" w:name="_Toc73958463"/>
      <w:r w:rsidRPr="0093503E">
        <w:rPr>
          <w:rFonts w:hint="eastAsia"/>
        </w:rPr>
        <w:t>原理</w:t>
      </w:r>
      <w:bookmarkEnd w:id="71"/>
      <w:bookmarkEnd w:id="72"/>
      <w:bookmarkEnd w:id="73"/>
      <w:bookmarkEnd w:id="74"/>
    </w:p>
    <w:p w:rsidR="0093503E" w:rsidRPr="0093503E" w:rsidRDefault="0093503E" w:rsidP="0093503E">
      <w:pPr>
        <w:pStyle w:val="affff6"/>
        <w:ind w:firstLine="420"/>
        <w:rPr>
          <w:rFonts w:hint="eastAsia"/>
        </w:rPr>
      </w:pPr>
      <w:bookmarkStart w:id="75" w:name="_Toc70077449"/>
      <w:bookmarkStart w:id="76" w:name="_Toc47098624"/>
      <w:r w:rsidRPr="0093503E">
        <w:rPr>
          <w:rFonts w:hint="eastAsia"/>
        </w:rPr>
        <w:t>待测样品中水分参与碘对二氧化硫的氧化，第一步是与水反应，第二步是将第一步的产物亚砷酸-三氧化二砷络合物与甲醇反应，以促进第一步的反应。</w:t>
      </w:r>
    </w:p>
    <w:p w:rsidR="0093503E" w:rsidRPr="0093503E" w:rsidRDefault="0093503E" w:rsidP="0093503E">
      <w:pPr>
        <w:pStyle w:val="affff6"/>
        <w:ind w:firstLine="420"/>
        <w:rPr>
          <w:rFonts w:hint="eastAsia"/>
        </w:rPr>
      </w:pPr>
      <w:r w:rsidRPr="0093503E">
        <w:rPr>
          <w:rFonts w:hint="eastAsia"/>
        </w:rPr>
        <w:t>卡尔费休水分仪滴定过程是由两端供电的双铂电极完成，而卡尔费休水分测定仪从去极化双铂电极中获得的电流信号控制滴定，当溶液中只有碘时，没有电流通过点击极化。当达到滴定终点时（水反应完成），溶液中的游离碘存在，使电极去极化，电流突然增加，从而使一个电极的碘氧化，另一个电极上的碘（I</w:t>
      </w:r>
      <w:r w:rsidRPr="0093503E">
        <w:rPr>
          <w:rFonts w:hint="eastAsia"/>
          <w:vertAlign w:val="subscript"/>
        </w:rPr>
        <w:t>2</w:t>
      </w:r>
      <w:r w:rsidRPr="0093503E">
        <w:rPr>
          <w:rFonts w:hint="eastAsia"/>
        </w:rPr>
        <w:t>）的量减少，此时，样品可根据消耗的卡尔费休试验剂量计算产品中的含水量。</w:t>
      </w:r>
    </w:p>
    <w:p w:rsidR="0093503E" w:rsidRPr="0093503E" w:rsidRDefault="0093503E" w:rsidP="0093503E">
      <w:pPr>
        <w:pStyle w:val="affd"/>
        <w:spacing w:before="120" w:after="120"/>
        <w:rPr>
          <w:rFonts w:hint="eastAsia"/>
        </w:rPr>
      </w:pPr>
      <w:bookmarkStart w:id="77" w:name="_Toc73604897"/>
      <w:bookmarkStart w:id="78" w:name="_Toc73958464"/>
      <w:r w:rsidRPr="0093503E">
        <w:rPr>
          <w:rFonts w:hint="eastAsia"/>
        </w:rPr>
        <w:t>仪器</w:t>
      </w:r>
      <w:bookmarkEnd w:id="75"/>
      <w:bookmarkEnd w:id="76"/>
      <w:r w:rsidRPr="0093503E">
        <w:rPr>
          <w:rFonts w:hint="eastAsia"/>
        </w:rPr>
        <w:t>及试剂</w:t>
      </w:r>
      <w:bookmarkEnd w:id="77"/>
      <w:bookmarkEnd w:id="78"/>
    </w:p>
    <w:p w:rsidR="0093503E" w:rsidRPr="0093503E" w:rsidRDefault="0093503E" w:rsidP="0093503E">
      <w:pPr>
        <w:pStyle w:val="affff6"/>
        <w:ind w:firstLine="420"/>
        <w:rPr>
          <w:rFonts w:hint="eastAsia"/>
        </w:rPr>
      </w:pPr>
      <w:r w:rsidRPr="0093503E">
        <w:rPr>
          <w:rFonts w:hint="eastAsia"/>
        </w:rPr>
        <w:t>仪器：卡尔费休水分仪。</w:t>
      </w:r>
    </w:p>
    <w:p w:rsidR="0093503E" w:rsidRPr="0093503E" w:rsidRDefault="0093503E" w:rsidP="0093503E">
      <w:pPr>
        <w:pStyle w:val="affff6"/>
        <w:ind w:firstLine="420"/>
        <w:rPr>
          <w:rFonts w:hint="eastAsia"/>
        </w:rPr>
      </w:pPr>
      <w:r w:rsidRPr="0093503E">
        <w:rPr>
          <w:rFonts w:hint="eastAsia"/>
        </w:rPr>
        <w:t>试剂：甲醇。</w:t>
      </w:r>
    </w:p>
    <w:p w:rsidR="0093503E" w:rsidRPr="0093503E" w:rsidRDefault="0093503E" w:rsidP="0093503E">
      <w:pPr>
        <w:pStyle w:val="affd"/>
        <w:spacing w:before="120" w:after="120"/>
        <w:rPr>
          <w:rFonts w:hint="eastAsia"/>
        </w:rPr>
      </w:pPr>
      <w:bookmarkStart w:id="79" w:name="_Toc73604898"/>
      <w:bookmarkStart w:id="80" w:name="_Toc70077450"/>
      <w:bookmarkStart w:id="81" w:name="_Toc47098625"/>
      <w:bookmarkStart w:id="82" w:name="_Toc73958465"/>
      <w:r w:rsidRPr="0093503E">
        <w:rPr>
          <w:rFonts w:hint="eastAsia"/>
        </w:rPr>
        <w:t>测定条件</w:t>
      </w:r>
      <w:bookmarkEnd w:id="79"/>
      <w:bookmarkEnd w:id="80"/>
      <w:bookmarkEnd w:id="81"/>
      <w:bookmarkEnd w:id="82"/>
    </w:p>
    <w:p w:rsidR="0093503E" w:rsidRPr="0093503E" w:rsidRDefault="0093503E" w:rsidP="0093503E">
      <w:pPr>
        <w:pStyle w:val="affff6"/>
        <w:ind w:firstLine="420"/>
        <w:rPr>
          <w:rFonts w:hint="eastAsia"/>
        </w:rPr>
      </w:pPr>
      <w:r w:rsidRPr="0093503E">
        <w:rPr>
          <w:rFonts w:hint="eastAsia"/>
        </w:rPr>
        <w:t xml:space="preserve">水分漂移值&lt;1.0 </w:t>
      </w:r>
      <w:r w:rsidRPr="0093503E">
        <w:t>µ</w:t>
      </w:r>
      <w:r w:rsidRPr="0093503E">
        <w:rPr>
          <w:rFonts w:hint="eastAsia"/>
        </w:rPr>
        <w:t>g/s。</w:t>
      </w:r>
    </w:p>
    <w:p w:rsidR="0093503E" w:rsidRPr="0093503E" w:rsidRDefault="0093503E" w:rsidP="0093503E">
      <w:pPr>
        <w:pStyle w:val="affd"/>
        <w:spacing w:before="120" w:after="120"/>
        <w:rPr>
          <w:rFonts w:hint="eastAsia"/>
        </w:rPr>
      </w:pPr>
      <w:bookmarkStart w:id="83" w:name="_Toc73604899"/>
      <w:bookmarkStart w:id="84" w:name="_Toc70077451"/>
      <w:bookmarkStart w:id="85" w:name="_Toc47098626"/>
      <w:bookmarkStart w:id="86" w:name="_Toc73958466"/>
      <w:r w:rsidRPr="0093503E">
        <w:rPr>
          <w:rFonts w:hint="eastAsia"/>
        </w:rPr>
        <w:lastRenderedPageBreak/>
        <w:t>测定步骤</w:t>
      </w:r>
      <w:bookmarkEnd w:id="83"/>
      <w:bookmarkEnd w:id="84"/>
      <w:bookmarkEnd w:id="85"/>
      <w:bookmarkEnd w:id="86"/>
    </w:p>
    <w:p w:rsidR="0093503E" w:rsidRPr="0093503E" w:rsidRDefault="0093503E" w:rsidP="0093503E">
      <w:pPr>
        <w:pStyle w:val="af5"/>
        <w:rPr>
          <w:rFonts w:hint="eastAsia"/>
        </w:rPr>
      </w:pPr>
      <w:r w:rsidRPr="0093503E">
        <w:rPr>
          <w:rFonts w:hint="eastAsia"/>
        </w:rPr>
        <w:t>打开水分仪主机电源，按“Pre-</w:t>
      </w:r>
      <w:proofErr w:type="spellStart"/>
      <w:r w:rsidRPr="0093503E">
        <w:rPr>
          <w:rFonts w:hint="eastAsia"/>
        </w:rPr>
        <w:t>Titr</w:t>
      </w:r>
      <w:proofErr w:type="spellEnd"/>
      <w:r w:rsidRPr="0093503E">
        <w:rPr>
          <w:rFonts w:hint="eastAsia"/>
        </w:rPr>
        <w:t>”进行水分预滴定，选择方法为“method2”，使水分</w:t>
      </w:r>
      <w:proofErr w:type="gramStart"/>
      <w:r w:rsidRPr="0093503E">
        <w:rPr>
          <w:rFonts w:hint="eastAsia"/>
        </w:rPr>
        <w:t>仪处于</w:t>
      </w:r>
      <w:proofErr w:type="gramEnd"/>
      <w:r w:rsidRPr="0093503E">
        <w:rPr>
          <w:rFonts w:hint="eastAsia"/>
        </w:rPr>
        <w:t>可测量状态，即水分</w:t>
      </w:r>
      <w:proofErr w:type="gramStart"/>
      <w:r w:rsidRPr="0093503E">
        <w:rPr>
          <w:rFonts w:hint="eastAsia"/>
        </w:rPr>
        <w:t>漂移值</w:t>
      </w:r>
      <w:proofErr w:type="gramEnd"/>
      <w:r w:rsidRPr="0093503E">
        <w:rPr>
          <w:rFonts w:hint="eastAsia"/>
        </w:rPr>
        <w:t xml:space="preserve">&lt;1.0 </w:t>
      </w:r>
      <w:r w:rsidRPr="0093503E">
        <w:t>µ</w:t>
      </w:r>
      <w:r w:rsidRPr="0093503E">
        <w:rPr>
          <w:rFonts w:hint="eastAsia"/>
        </w:rPr>
        <w:t>g/s；</w:t>
      </w:r>
    </w:p>
    <w:p w:rsidR="0093503E" w:rsidRPr="0093503E" w:rsidRDefault="0093503E" w:rsidP="0093503E">
      <w:pPr>
        <w:pStyle w:val="af5"/>
        <w:rPr>
          <w:rFonts w:hint="eastAsia"/>
        </w:rPr>
      </w:pPr>
      <w:r w:rsidRPr="0093503E">
        <w:rPr>
          <w:rFonts w:hint="eastAsia"/>
        </w:rPr>
        <w:t>用进样器吸取甲醇清洗进样器三次，再用待测样品清洗两次，抽取0.3mL</w:t>
      </w:r>
      <w:r w:rsidR="006C013C">
        <w:rPr>
          <w:rFonts w:ascii="Times New Roman"/>
        </w:rPr>
        <w:t>~</w:t>
      </w:r>
      <w:r w:rsidRPr="0093503E">
        <w:rPr>
          <w:rFonts w:hint="eastAsia"/>
        </w:rPr>
        <w:t>0.4mL样品，用滤纸擦干针头，放入分析天平，读数归零；</w:t>
      </w:r>
    </w:p>
    <w:p w:rsidR="0093503E" w:rsidRPr="0093503E" w:rsidRDefault="0093503E" w:rsidP="0093503E">
      <w:pPr>
        <w:pStyle w:val="af5"/>
        <w:rPr>
          <w:rFonts w:hint="eastAsia"/>
        </w:rPr>
      </w:pPr>
      <w:r w:rsidRPr="0093503E">
        <w:rPr>
          <w:rFonts w:hint="eastAsia"/>
        </w:rPr>
        <w:t>按下水分仪“Start”键，注入样品，再按“Start”键，仪器开始测量；</w:t>
      </w:r>
    </w:p>
    <w:p w:rsidR="0093503E" w:rsidRPr="0093503E" w:rsidRDefault="0093503E" w:rsidP="0093503E">
      <w:pPr>
        <w:pStyle w:val="af5"/>
        <w:rPr>
          <w:rFonts w:hint="eastAsia"/>
        </w:rPr>
      </w:pPr>
      <w:r w:rsidRPr="0093503E">
        <w:rPr>
          <w:rFonts w:hint="eastAsia"/>
        </w:rPr>
        <w:t>用滤纸再次擦干针头，放回分析天平称量，记录注入样品的质量；</w:t>
      </w:r>
    </w:p>
    <w:p w:rsidR="0093503E" w:rsidRPr="0093503E" w:rsidRDefault="0093503E" w:rsidP="0093503E">
      <w:pPr>
        <w:pStyle w:val="af5"/>
        <w:rPr>
          <w:rFonts w:hint="eastAsia"/>
        </w:rPr>
      </w:pPr>
      <w:r w:rsidRPr="0093503E">
        <w:rPr>
          <w:rFonts w:hint="eastAsia"/>
        </w:rPr>
        <w:t>待仪器测量完毕，水分仪在“wt1”处输入样品质量，按“Enter”回车键，“wt2”处输入0，再次按“Enter”，仪器显示测定结果。</w:t>
      </w:r>
    </w:p>
    <w:p w:rsidR="0093503E" w:rsidRPr="0093503E" w:rsidRDefault="0093503E" w:rsidP="0093503E">
      <w:pPr>
        <w:pStyle w:val="affd"/>
        <w:spacing w:before="120" w:after="120"/>
        <w:rPr>
          <w:rFonts w:hint="eastAsia"/>
        </w:rPr>
      </w:pPr>
      <w:bookmarkStart w:id="87" w:name="_Toc73604900"/>
      <w:bookmarkStart w:id="88" w:name="_Toc70077455"/>
      <w:bookmarkStart w:id="89" w:name="_Toc47098629"/>
      <w:bookmarkStart w:id="90" w:name="_Toc73958467"/>
      <w:r w:rsidRPr="0093503E">
        <w:rPr>
          <w:rFonts w:hint="eastAsia"/>
        </w:rPr>
        <w:t>结果处理</w:t>
      </w:r>
      <w:bookmarkEnd w:id="87"/>
      <w:bookmarkEnd w:id="88"/>
      <w:bookmarkEnd w:id="89"/>
      <w:bookmarkEnd w:id="90"/>
    </w:p>
    <w:p w:rsidR="0093503E" w:rsidRPr="0093503E" w:rsidRDefault="0093503E" w:rsidP="0093503E">
      <w:pPr>
        <w:pStyle w:val="affff6"/>
        <w:ind w:firstLine="420"/>
        <w:rPr>
          <w:rFonts w:hint="eastAsia"/>
        </w:rPr>
      </w:pPr>
      <w:r w:rsidRPr="0093503E">
        <w:rPr>
          <w:rFonts w:hint="eastAsia"/>
        </w:rPr>
        <w:t>记录测定结果，并重复测定，应至少平行测定三次，相对误差</w:t>
      </w:r>
      <w:r w:rsidRPr="0093503E">
        <w:t>≤</w:t>
      </w:r>
      <w:r w:rsidRPr="0093503E">
        <w:t xml:space="preserve"> 10</w:t>
      </w:r>
      <w:r w:rsidRPr="0093503E">
        <w:t> </w:t>
      </w:r>
      <w:r w:rsidRPr="0093503E">
        <w:t>%</w:t>
      </w:r>
      <w:r w:rsidRPr="0093503E">
        <w:rPr>
          <w:rFonts w:hint="eastAsia"/>
        </w:rPr>
        <w:t>。样品中水分含量取三次平行测定的算术平均值。</w:t>
      </w:r>
    </w:p>
    <w:p w:rsidR="0093503E" w:rsidRDefault="0093503E" w:rsidP="0093503E">
      <w:pPr>
        <w:widowControl/>
        <w:autoSpaceDE w:val="0"/>
        <w:autoSpaceDN w:val="0"/>
        <w:adjustRightInd/>
        <w:spacing w:beforeLines="100" w:before="240" w:line="240" w:lineRule="auto"/>
        <w:ind w:firstLineChars="200" w:firstLine="420"/>
        <w:jc w:val="center"/>
        <w:rPr>
          <w:rFonts w:ascii="宋体" w:hAnsi="宋体"/>
          <w:noProof/>
          <w:kern w:val="0"/>
        </w:rPr>
        <w:sectPr w:rsidR="0093503E" w:rsidSect="009908A3">
          <w:pgSz w:w="11906" w:h="16838" w:code="9"/>
          <w:pgMar w:top="2410" w:right="1134" w:bottom="1134" w:left="1134" w:header="1418" w:footer="1134" w:gutter="284"/>
          <w:pgNumType w:start="1"/>
          <w:cols w:space="425"/>
          <w:formProt w:val="0"/>
          <w:docGrid w:linePitch="312"/>
        </w:sectPr>
      </w:pPr>
      <m:oMath>
        <m:r>
          <m:rPr>
            <m:sty m:val="p"/>
          </m:rPr>
          <w:rPr>
            <w:rFonts w:ascii="Cambria Math" w:hAnsi="Cambria Math" w:hint="eastAsia"/>
            <w:noProof/>
            <w:kern w:val="0"/>
          </w:rPr>
          <m:t>相对误差</m:t>
        </m:r>
        <m:r>
          <m:rPr>
            <m:sty m:val="p"/>
          </m:rPr>
          <w:rPr>
            <w:rFonts w:ascii="Cambria Math" w:hAnsi="Cambria Math"/>
            <w:noProof/>
            <w:kern w:val="0"/>
          </w:rPr>
          <m:t>=</m:t>
        </m:r>
        <m:f>
          <m:fPr>
            <m:ctrlPr>
              <w:rPr>
                <w:rFonts w:ascii="Cambria Math" w:hAnsi="Cambria Math" w:cs="宋体"/>
                <w:noProof/>
                <w:kern w:val="0"/>
              </w:rPr>
            </m:ctrlPr>
          </m:fPr>
          <m:num>
            <m:r>
              <m:rPr>
                <m:sty m:val="p"/>
              </m:rPr>
              <w:rPr>
                <w:rFonts w:ascii="Cambria Math" w:hAnsi="Cambria Math" w:hint="eastAsia"/>
                <w:noProof/>
                <w:kern w:val="0"/>
              </w:rPr>
              <m:t>｜最大值或最小值︱</m:t>
            </m:r>
            <m:r>
              <m:rPr>
                <m:sty m:val="p"/>
              </m:rPr>
              <w:rPr>
                <w:rFonts w:ascii="Cambria Math" w:hAnsi="Cambria Math"/>
                <w:noProof/>
                <w:kern w:val="0"/>
              </w:rPr>
              <m:t>-</m:t>
            </m:r>
            <m:r>
              <m:rPr>
                <m:sty m:val="p"/>
              </m:rPr>
              <w:rPr>
                <w:rFonts w:ascii="Cambria Math" w:hAnsi="Cambria Math" w:hint="eastAsia"/>
                <w:noProof/>
                <w:kern w:val="0"/>
              </w:rPr>
              <m:t>平均值</m:t>
            </m:r>
          </m:num>
          <m:den>
            <m:r>
              <m:rPr>
                <m:sty m:val="p"/>
              </m:rPr>
              <w:rPr>
                <w:rFonts w:ascii="Cambria Math" w:hAnsi="Cambria Math" w:hint="eastAsia"/>
                <w:noProof/>
                <w:kern w:val="0"/>
              </w:rPr>
              <m:t>平均值</m:t>
            </m:r>
          </m:den>
        </m:f>
      </m:oMath>
      <w:r w:rsidRPr="0093503E">
        <w:rPr>
          <w:rFonts w:ascii="宋体" w:hAnsi="宋体" w:hint="eastAsia"/>
          <w:noProof/>
          <w:kern w:val="0"/>
        </w:rPr>
        <w:t>*100%</w:t>
      </w:r>
      <w:bookmarkStart w:id="91" w:name="_GoBack"/>
      <w:bookmarkEnd w:id="91"/>
    </w:p>
    <w:p w:rsidR="0093503E" w:rsidRDefault="008E37A2" w:rsidP="0093503E">
      <w:pPr>
        <w:pStyle w:val="affffd"/>
        <w:spacing w:before="96" w:after="120"/>
      </w:pPr>
      <w:bookmarkStart w:id="92" w:name="BookMark6"/>
      <w:bookmarkEnd w:id="24"/>
      <w:r>
        <w:rPr>
          <w:rFonts w:hint="eastAsia"/>
          <w:spacing w:val="105"/>
        </w:rPr>
        <w:lastRenderedPageBreak/>
        <w:t xml:space="preserve"> </w:t>
      </w:r>
      <w:bookmarkStart w:id="93" w:name="_Toc75811273"/>
      <w:r w:rsidR="0093503E" w:rsidRPr="0093503E">
        <w:rPr>
          <w:rFonts w:hint="eastAsia"/>
          <w:spacing w:val="105"/>
        </w:rPr>
        <w:t>参考文</w:t>
      </w:r>
      <w:r w:rsidR="0093503E">
        <w:rPr>
          <w:rFonts w:hint="eastAsia"/>
        </w:rPr>
        <w:t>献</w:t>
      </w:r>
      <w:bookmarkEnd w:id="93"/>
    </w:p>
    <w:p w:rsidR="008E37A2" w:rsidRPr="008E37A2" w:rsidRDefault="008E37A2" w:rsidP="008E37A2">
      <w:pPr>
        <w:rPr>
          <w:rFonts w:hint="eastAsia"/>
        </w:rPr>
      </w:pPr>
    </w:p>
    <w:p w:rsidR="0093503E" w:rsidRPr="008E37A2" w:rsidRDefault="0093503E" w:rsidP="008E37A2">
      <w:pPr>
        <w:pStyle w:val="affff6"/>
        <w:ind w:firstLine="420"/>
      </w:pPr>
      <w:r w:rsidRPr="008E37A2">
        <w:rPr>
          <w:rFonts w:hint="eastAsia"/>
        </w:rPr>
        <w:t>[1]  GB/T 6283-2008  化工产品中水分含量的测定卡尔</w:t>
      </w:r>
      <w:r w:rsidRPr="008E37A2">
        <w:t>·</w:t>
      </w:r>
      <w:r w:rsidRPr="008E37A2">
        <w:rPr>
          <w:rFonts w:hint="eastAsia"/>
        </w:rPr>
        <w:t>费休法（通用方法）</w:t>
      </w:r>
    </w:p>
    <w:p w:rsidR="008E37A2" w:rsidRPr="008E37A2" w:rsidRDefault="0093503E" w:rsidP="008E37A2">
      <w:pPr>
        <w:pStyle w:val="affff6"/>
        <w:ind w:firstLine="420"/>
      </w:pPr>
      <w:r w:rsidRPr="008E37A2">
        <w:rPr>
          <w:rFonts w:hint="eastAsia"/>
        </w:rPr>
        <w:t xml:space="preserve">[2] </w:t>
      </w:r>
      <w:r w:rsidR="008E37A2">
        <w:t xml:space="preserve"> </w:t>
      </w:r>
      <w:r w:rsidR="008E37A2" w:rsidRPr="008E37A2">
        <w:t xml:space="preserve">GB/T 16631-2008  </w:t>
      </w:r>
      <w:r w:rsidR="008E37A2" w:rsidRPr="008E37A2">
        <w:rPr>
          <w:rFonts w:hint="eastAsia"/>
        </w:rPr>
        <w:t>高效液相色谱法通则</w:t>
      </w:r>
    </w:p>
    <w:p w:rsidR="008E37A2" w:rsidRPr="008E37A2" w:rsidRDefault="0093503E" w:rsidP="008E37A2">
      <w:pPr>
        <w:pStyle w:val="affff6"/>
        <w:ind w:firstLine="420"/>
        <w:rPr>
          <w:rFonts w:hint="eastAsia"/>
        </w:rPr>
      </w:pPr>
      <w:r w:rsidRPr="008E37A2">
        <w:t xml:space="preserve">[3]  </w:t>
      </w:r>
      <w:r w:rsidR="008E37A2" w:rsidRPr="008E37A2">
        <w:rPr>
          <w:rFonts w:hint="eastAsia"/>
        </w:rPr>
        <w:t>GB/T 26792-2019  高效液相色谱仪</w:t>
      </w:r>
    </w:p>
    <w:p w:rsidR="0093503E" w:rsidRPr="008E37A2" w:rsidRDefault="008E37A2" w:rsidP="008E37A2">
      <w:pPr>
        <w:pStyle w:val="affff6"/>
        <w:ind w:firstLine="420"/>
      </w:pPr>
      <w:r w:rsidRPr="008E37A2">
        <w:t xml:space="preserve"> </w:t>
      </w:r>
    </w:p>
    <w:p w:rsidR="008831A8" w:rsidRDefault="008831A8" w:rsidP="008831A8">
      <w:pPr>
        <w:pStyle w:val="affff6"/>
        <w:ind w:firstLineChars="0" w:firstLine="0"/>
        <w:jc w:val="center"/>
      </w:pPr>
      <w:bookmarkStart w:id="94" w:name="BookMark8"/>
      <w:bookmarkEnd w:id="92"/>
    </w:p>
    <w:p w:rsidR="0093503E" w:rsidRDefault="008831A8" w:rsidP="008831A8">
      <w:pPr>
        <w:pStyle w:val="affff6"/>
        <w:ind w:firstLineChars="0" w:firstLine="0"/>
        <w:jc w:val="center"/>
      </w:pPr>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4"/>
    </w:p>
    <w:sectPr w:rsidR="0093503E" w:rsidSect="0093503E">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B21" w:rsidRDefault="00733B21" w:rsidP="00D86DB7">
      <w:r>
        <w:separator/>
      </w:r>
    </w:p>
    <w:p w:rsidR="00733B21" w:rsidRDefault="00733B21"/>
    <w:p w:rsidR="00733B21" w:rsidRDefault="00733B21"/>
  </w:endnote>
  <w:endnote w:type="continuationSeparator" w:id="0">
    <w:p w:rsidR="00733B21" w:rsidRDefault="00733B21" w:rsidP="00D86DB7">
      <w:r>
        <w:continuationSeparator/>
      </w:r>
    </w:p>
    <w:p w:rsidR="00733B21" w:rsidRDefault="00733B21"/>
    <w:p w:rsidR="00733B21" w:rsidRDefault="00733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ˎ̥">
    <w:altName w:val="Times New Roman"/>
    <w:charset w:val="00"/>
    <w:family w:val="roman"/>
    <w:pitch w:val="default"/>
    <w:sig w:usb0="00000000" w:usb1="00000000" w:usb2="00000000"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6C013C" w:rsidRPr="006C013C">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B21" w:rsidRDefault="00733B21" w:rsidP="00D86DB7">
      <w:r>
        <w:separator/>
      </w:r>
    </w:p>
  </w:footnote>
  <w:footnote w:type="continuationSeparator" w:id="0">
    <w:p w:rsidR="00733B21" w:rsidRDefault="00733B21" w:rsidP="00D86DB7">
      <w:r>
        <w:continuationSeparator/>
      </w:r>
    </w:p>
    <w:p w:rsidR="00733B21" w:rsidRDefault="00733B21"/>
    <w:p w:rsidR="00733B21" w:rsidRDefault="00733B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3503E">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6C013C">
      <w:t>T/CHBAS XXXX</w:t>
    </w:r>
    <w:r w:rsidR="006C013C">
      <w:t>—</w:t>
    </w:r>
    <w:r w:rsidR="006C013C">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32.5pt;height:33.3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7"/>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BFJB34BiJpj69PVuaeir8o8ERCgZvts4MZnPo3IDq/9TkxwIGA96nEJ0zy0yAzLBeZzWTJoXryuBztriwC9uQg==" w:salt="JkGJ7XNDQGB5HVlvI1o/0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03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7D7"/>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77BC1"/>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013C"/>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C0D"/>
    <w:rsid w:val="00707669"/>
    <w:rsid w:val="00711CBA"/>
    <w:rsid w:val="00711FB5"/>
    <w:rsid w:val="00712A01"/>
    <w:rsid w:val="00714F58"/>
    <w:rsid w:val="00722FBF"/>
    <w:rsid w:val="00722FC2"/>
    <w:rsid w:val="00724E1B"/>
    <w:rsid w:val="00725949"/>
    <w:rsid w:val="00727FA2"/>
    <w:rsid w:val="007322D9"/>
    <w:rsid w:val="00732BC0"/>
    <w:rsid w:val="00733B21"/>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1A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7A2"/>
    <w:rsid w:val="008E49D4"/>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503E"/>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2FB"/>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15:docId w15:val="{7D4A30AF-8888-4F1F-AF02-C5D95A4DD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link w:val="afffffffffff4"/>
    <w:qFormat/>
    <w:locked/>
    <w:rsid w:val="0093503E"/>
    <w:rPr>
      <w:rFonts w:ascii="宋体" w:hAnsi="Times New Roman"/>
      <w:noProof/>
    </w:rPr>
  </w:style>
  <w:style w:type="paragraph" w:customStyle="1" w:styleId="afffffffffff4">
    <w:name w:val="段"/>
    <w:link w:val="Char7"/>
    <w:qFormat/>
    <w:rsid w:val="0093503E"/>
    <w:pPr>
      <w:tabs>
        <w:tab w:val="center" w:pos="4201"/>
        <w:tab w:val="right" w:leader="dot" w:pos="9298"/>
      </w:tabs>
      <w:autoSpaceDE w:val="0"/>
      <w:autoSpaceDN w:val="0"/>
      <w:ind w:firstLineChars="200" w:firstLine="420"/>
      <w:jc w:val="both"/>
    </w:pPr>
    <w:rPr>
      <w:rFonts w:ascii="宋体" w:hAnsi="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5563535">
      <w:bodyDiv w:val="1"/>
      <w:marLeft w:val="0"/>
      <w:marRight w:val="0"/>
      <w:marTop w:val="0"/>
      <w:marBottom w:val="0"/>
      <w:divBdr>
        <w:top w:val="none" w:sz="0" w:space="0" w:color="auto"/>
        <w:left w:val="none" w:sz="0" w:space="0" w:color="auto"/>
        <w:bottom w:val="none" w:sz="0" w:space="0" w:color="auto"/>
        <w:right w:val="none" w:sz="0" w:space="0" w:color="auto"/>
      </w:divBdr>
    </w:div>
    <w:div w:id="208147799">
      <w:bodyDiv w:val="1"/>
      <w:marLeft w:val="0"/>
      <w:marRight w:val="0"/>
      <w:marTop w:val="0"/>
      <w:marBottom w:val="0"/>
      <w:divBdr>
        <w:top w:val="none" w:sz="0" w:space="0" w:color="auto"/>
        <w:left w:val="none" w:sz="0" w:space="0" w:color="auto"/>
        <w:bottom w:val="none" w:sz="0" w:space="0" w:color="auto"/>
        <w:right w:val="none" w:sz="0" w:space="0" w:color="auto"/>
      </w:divBdr>
    </w:div>
    <w:div w:id="697586964">
      <w:bodyDiv w:val="1"/>
      <w:marLeft w:val="0"/>
      <w:marRight w:val="0"/>
      <w:marTop w:val="0"/>
      <w:marBottom w:val="0"/>
      <w:divBdr>
        <w:top w:val="none" w:sz="0" w:space="0" w:color="auto"/>
        <w:left w:val="none" w:sz="0" w:space="0" w:color="auto"/>
        <w:bottom w:val="none" w:sz="0" w:space="0" w:color="auto"/>
        <w:right w:val="none" w:sz="0" w:space="0" w:color="auto"/>
      </w:divBdr>
    </w:div>
    <w:div w:id="768812373">
      <w:bodyDiv w:val="1"/>
      <w:marLeft w:val="0"/>
      <w:marRight w:val="0"/>
      <w:marTop w:val="0"/>
      <w:marBottom w:val="0"/>
      <w:divBdr>
        <w:top w:val="none" w:sz="0" w:space="0" w:color="auto"/>
        <w:left w:val="none" w:sz="0" w:space="0" w:color="auto"/>
        <w:bottom w:val="none" w:sz="0" w:space="0" w:color="auto"/>
        <w:right w:val="none" w:sz="0" w:space="0" w:color="auto"/>
      </w:divBdr>
    </w:div>
    <w:div w:id="804086057">
      <w:bodyDiv w:val="1"/>
      <w:marLeft w:val="0"/>
      <w:marRight w:val="0"/>
      <w:marTop w:val="0"/>
      <w:marBottom w:val="0"/>
      <w:divBdr>
        <w:top w:val="none" w:sz="0" w:space="0" w:color="auto"/>
        <w:left w:val="none" w:sz="0" w:space="0" w:color="auto"/>
        <w:bottom w:val="none" w:sz="0" w:space="0" w:color="auto"/>
        <w:right w:val="none" w:sz="0" w:space="0" w:color="auto"/>
      </w:divBdr>
    </w:div>
    <w:div w:id="968705145">
      <w:bodyDiv w:val="1"/>
      <w:marLeft w:val="0"/>
      <w:marRight w:val="0"/>
      <w:marTop w:val="0"/>
      <w:marBottom w:val="0"/>
      <w:divBdr>
        <w:top w:val="none" w:sz="0" w:space="0" w:color="auto"/>
        <w:left w:val="none" w:sz="0" w:space="0" w:color="auto"/>
        <w:bottom w:val="none" w:sz="0" w:space="0" w:color="auto"/>
        <w:right w:val="none" w:sz="0" w:space="0" w:color="auto"/>
      </w:divBdr>
    </w:div>
    <w:div w:id="1178352643">
      <w:bodyDiv w:val="1"/>
      <w:marLeft w:val="0"/>
      <w:marRight w:val="0"/>
      <w:marTop w:val="0"/>
      <w:marBottom w:val="0"/>
      <w:divBdr>
        <w:top w:val="none" w:sz="0" w:space="0" w:color="auto"/>
        <w:left w:val="none" w:sz="0" w:space="0" w:color="auto"/>
        <w:bottom w:val="none" w:sz="0" w:space="0" w:color="auto"/>
        <w:right w:val="none" w:sz="0" w:space="0" w:color="auto"/>
      </w:divBdr>
    </w:div>
    <w:div w:id="1217663476">
      <w:bodyDiv w:val="1"/>
      <w:marLeft w:val="0"/>
      <w:marRight w:val="0"/>
      <w:marTop w:val="0"/>
      <w:marBottom w:val="0"/>
      <w:divBdr>
        <w:top w:val="none" w:sz="0" w:space="0" w:color="auto"/>
        <w:left w:val="none" w:sz="0" w:space="0" w:color="auto"/>
        <w:bottom w:val="none" w:sz="0" w:space="0" w:color="auto"/>
        <w:right w:val="none" w:sz="0" w:space="0" w:color="auto"/>
      </w:divBdr>
    </w:div>
    <w:div w:id="1623220816">
      <w:bodyDiv w:val="1"/>
      <w:marLeft w:val="0"/>
      <w:marRight w:val="0"/>
      <w:marTop w:val="0"/>
      <w:marBottom w:val="0"/>
      <w:divBdr>
        <w:top w:val="none" w:sz="0" w:space="0" w:color="auto"/>
        <w:left w:val="none" w:sz="0" w:space="0" w:color="auto"/>
        <w:bottom w:val="none" w:sz="0" w:space="0" w:color="auto"/>
        <w:right w:val="none" w:sz="0" w:space="0" w:color="auto"/>
      </w:divBdr>
    </w:div>
    <w:div w:id="1854831225">
      <w:bodyDiv w:val="1"/>
      <w:marLeft w:val="0"/>
      <w:marRight w:val="0"/>
      <w:marTop w:val="0"/>
      <w:marBottom w:val="0"/>
      <w:divBdr>
        <w:top w:val="none" w:sz="0" w:space="0" w:color="auto"/>
        <w:left w:val="none" w:sz="0" w:space="0" w:color="auto"/>
        <w:bottom w:val="none" w:sz="0" w:space="0" w:color="auto"/>
        <w:right w:val="none" w:sz="0" w:space="0" w:color="auto"/>
      </w:divBdr>
    </w:div>
    <w:div w:id="1873959559">
      <w:bodyDiv w:val="1"/>
      <w:marLeft w:val="0"/>
      <w:marRight w:val="0"/>
      <w:marTop w:val="0"/>
      <w:marBottom w:val="0"/>
      <w:divBdr>
        <w:top w:val="none" w:sz="0" w:space="0" w:color="auto"/>
        <w:left w:val="none" w:sz="0" w:space="0" w:color="auto"/>
        <w:bottom w:val="none" w:sz="0" w:space="0" w:color="auto"/>
        <w:right w:val="none" w:sz="0" w:space="0" w:color="auto"/>
      </w:divBdr>
    </w:div>
    <w:div w:id="2041934081">
      <w:bodyDiv w:val="1"/>
      <w:marLeft w:val="0"/>
      <w:marRight w:val="0"/>
      <w:marTop w:val="0"/>
      <w:marBottom w:val="0"/>
      <w:divBdr>
        <w:top w:val="none" w:sz="0" w:space="0" w:color="auto"/>
        <w:left w:val="none" w:sz="0" w:space="0" w:color="auto"/>
        <w:bottom w:val="none" w:sz="0" w:space="0" w:color="auto"/>
        <w:right w:val="none" w:sz="0" w:space="0" w:color="auto"/>
      </w:divBdr>
    </w:div>
    <w:div w:id="214646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072A11F4A1B41579DA93A0090FC95EC"/>
        <w:category>
          <w:name w:val="常规"/>
          <w:gallery w:val="placeholder"/>
        </w:category>
        <w:types>
          <w:type w:val="bbPlcHdr"/>
        </w:types>
        <w:behaviors>
          <w:behavior w:val="content"/>
        </w:behaviors>
        <w:guid w:val="{6028B7CE-341F-4411-AA07-8EBAA89ECC68}"/>
      </w:docPartPr>
      <w:docPartBody>
        <w:p w:rsidR="00000000" w:rsidRDefault="00CC4FCB">
          <w:pPr>
            <w:pStyle w:val="F072A11F4A1B41579DA93A0090FC95EC"/>
          </w:pPr>
          <w:r w:rsidRPr="00751A05">
            <w:rPr>
              <w:rStyle w:val="a3"/>
              <w:rFonts w:hint="eastAsia"/>
            </w:rPr>
            <w:t>单击或点击此处输入文字。</w:t>
          </w:r>
        </w:p>
      </w:docPartBody>
    </w:docPart>
    <w:docPart>
      <w:docPartPr>
        <w:name w:val="039B9FC4392D46E2A4C57E11619126F0"/>
        <w:category>
          <w:name w:val="常规"/>
          <w:gallery w:val="placeholder"/>
        </w:category>
        <w:types>
          <w:type w:val="bbPlcHdr"/>
        </w:types>
        <w:behaviors>
          <w:behavior w:val="content"/>
        </w:behaviors>
        <w:guid w:val="{995B89EE-AC64-4E73-8D94-111749964D4F}"/>
      </w:docPartPr>
      <w:docPartBody>
        <w:p w:rsidR="00000000" w:rsidRDefault="00CC4FCB">
          <w:pPr>
            <w:pStyle w:val="039B9FC4392D46E2A4C57E11619126F0"/>
          </w:pPr>
          <w:r w:rsidRPr="00FB6243">
            <w:rPr>
              <w:rStyle w:val="a3"/>
              <w:rFonts w:hint="eastAsia"/>
            </w:rPr>
            <w:t>选择一项。</w:t>
          </w:r>
        </w:p>
      </w:docPartBody>
    </w:docPart>
    <w:docPart>
      <w:docPartPr>
        <w:name w:val="BA91B1F1B8E0436980018A1282C4F3CF"/>
        <w:category>
          <w:name w:val="常规"/>
          <w:gallery w:val="placeholder"/>
        </w:category>
        <w:types>
          <w:type w:val="bbPlcHdr"/>
        </w:types>
        <w:behaviors>
          <w:behavior w:val="content"/>
        </w:behaviors>
        <w:guid w:val="{4A8A58D2-10FB-4DAA-9456-A08839BE3BE0}"/>
      </w:docPartPr>
      <w:docPartBody>
        <w:p w:rsidR="00000000" w:rsidRDefault="00CC4FCB">
          <w:pPr>
            <w:pStyle w:val="BA91B1F1B8E0436980018A1282C4F3C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ˎ̥">
    <w:altName w:val="Times New Roman"/>
    <w:charset w:val="00"/>
    <w:family w:val="roman"/>
    <w:pitch w:val="default"/>
    <w:sig w:usb0="00000000" w:usb1="00000000" w:usb2="00000000"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FCB"/>
    <w:rsid w:val="00CC4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072A11F4A1B41579DA93A0090FC95EC">
    <w:name w:val="F072A11F4A1B41579DA93A0090FC95EC"/>
    <w:pPr>
      <w:widowControl w:val="0"/>
      <w:jc w:val="both"/>
    </w:pPr>
  </w:style>
  <w:style w:type="paragraph" w:customStyle="1" w:styleId="039B9FC4392D46E2A4C57E11619126F0">
    <w:name w:val="039B9FC4392D46E2A4C57E11619126F0"/>
    <w:pPr>
      <w:widowControl w:val="0"/>
      <w:jc w:val="both"/>
    </w:pPr>
  </w:style>
  <w:style w:type="paragraph" w:customStyle="1" w:styleId="BA91B1F1B8E0436980018A1282C4F3CF">
    <w:name w:val="BA91B1F1B8E0436980018A1282C4F3C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46195-7A3E-4889-8849-F919293B3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19</TotalTime>
  <Pages>7</Pages>
  <Words>1477</Words>
  <Characters>1848</Characters>
  <Application>Microsoft Office Word</Application>
  <DocSecurity>0</DocSecurity>
  <Lines>308</Lines>
  <Paragraphs>277</Paragraphs>
  <ScaleCrop>false</ScaleCrop>
  <Company>PCMI</Company>
  <LinksUpToDate>false</LinksUpToDate>
  <CharactersWithSpaces>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user</cp:lastModifiedBy>
  <cp:revision>8</cp:revision>
  <cp:lastPrinted>2021-02-02T08:22:00Z</cp:lastPrinted>
  <dcterms:created xsi:type="dcterms:W3CDTF">2021-06-28T14:06:00Z</dcterms:created>
  <dcterms:modified xsi:type="dcterms:W3CDTF">2021-06-28T14:25:00Z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