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eastAsia="宋体"/>
          <w:b/>
          <w:bCs/>
          <w:color w:val="auto"/>
          <w:sz w:val="32"/>
          <w:lang w:eastAsia="zh-CN"/>
        </w:rPr>
      </w:pPr>
      <w:r>
        <w:rPr>
          <w:rFonts w:hint="eastAsia"/>
          <w:b/>
          <w:bCs/>
          <w:color w:val="auto"/>
          <w:sz w:val="32"/>
          <w:lang w:eastAsia="zh-CN"/>
        </w:rPr>
        <w:t>青岛友承信食品科技有限公司</w:t>
      </w:r>
    </w:p>
    <w:p>
      <w:pPr>
        <w:spacing w:line="440" w:lineRule="exact"/>
        <w:jc w:val="center"/>
        <w:rPr>
          <w:rFonts w:hint="eastAsia" w:eastAsia="宋体"/>
          <w:b/>
          <w:bCs/>
          <w:color w:val="auto"/>
          <w:sz w:val="32"/>
          <w:lang w:eastAsia="zh-CN"/>
        </w:rPr>
      </w:pPr>
      <w:r>
        <w:rPr>
          <w:rFonts w:hint="eastAsia"/>
          <w:b/>
          <w:bCs/>
          <w:color w:val="auto"/>
          <w:sz w:val="32"/>
          <w:lang w:eastAsia="zh-CN"/>
        </w:rPr>
        <w:t>食品调味料、食品添加剂生产项目（一期）</w:t>
      </w:r>
    </w:p>
    <w:p>
      <w:pPr>
        <w:spacing w:line="440" w:lineRule="exact"/>
        <w:jc w:val="center"/>
        <w:rPr>
          <w:b/>
          <w:bCs/>
          <w:color w:val="auto"/>
          <w:sz w:val="32"/>
        </w:rPr>
      </w:pPr>
      <w:r>
        <w:rPr>
          <w:b/>
          <w:bCs/>
          <w:color w:val="auto"/>
          <w:sz w:val="32"/>
        </w:rPr>
        <w:t>竣工环境保护验收意见</w:t>
      </w:r>
    </w:p>
    <w:p>
      <w:pPr>
        <w:spacing w:line="440" w:lineRule="exact"/>
        <w:jc w:val="center"/>
        <w:rPr>
          <w:color w:val="auto"/>
          <w:sz w:val="24"/>
          <w:szCs w:val="24"/>
        </w:rPr>
      </w:pPr>
    </w:p>
    <w:p>
      <w:pPr>
        <w:spacing w:line="440" w:lineRule="exact"/>
        <w:ind w:firstLine="480" w:firstLineChars="200"/>
        <w:rPr>
          <w:color w:val="auto"/>
          <w:sz w:val="24"/>
          <w:szCs w:val="24"/>
        </w:rPr>
      </w:pPr>
      <w:r>
        <w:rPr>
          <w:color w:val="auto"/>
          <w:sz w:val="24"/>
          <w:szCs w:val="24"/>
        </w:rPr>
        <w:t>202</w:t>
      </w:r>
      <w:r>
        <w:rPr>
          <w:rFonts w:hint="eastAsia"/>
          <w:color w:val="auto"/>
          <w:sz w:val="24"/>
          <w:szCs w:val="24"/>
        </w:rPr>
        <w:t>1</w:t>
      </w:r>
      <w:r>
        <w:rPr>
          <w:color w:val="auto"/>
          <w:sz w:val="24"/>
          <w:szCs w:val="24"/>
        </w:rPr>
        <w:t>年</w:t>
      </w:r>
      <w:r>
        <w:rPr>
          <w:rFonts w:hint="eastAsia"/>
          <w:color w:val="auto"/>
          <w:sz w:val="24"/>
          <w:szCs w:val="24"/>
          <w:lang w:val="en-US" w:eastAsia="zh-CN"/>
        </w:rPr>
        <w:t>4</w:t>
      </w:r>
      <w:r>
        <w:rPr>
          <w:color w:val="auto"/>
          <w:sz w:val="24"/>
          <w:szCs w:val="24"/>
        </w:rPr>
        <w:t>月</w:t>
      </w:r>
      <w:r>
        <w:rPr>
          <w:rFonts w:hint="eastAsia"/>
          <w:color w:val="auto"/>
          <w:sz w:val="24"/>
          <w:szCs w:val="24"/>
          <w:lang w:val="en-US" w:eastAsia="zh-CN"/>
        </w:rPr>
        <w:t>12</w:t>
      </w:r>
      <w:r>
        <w:rPr>
          <w:color w:val="auto"/>
          <w:sz w:val="24"/>
          <w:szCs w:val="24"/>
        </w:rPr>
        <w:t>日，</w:t>
      </w:r>
      <w:r>
        <w:rPr>
          <w:rFonts w:hint="eastAsia"/>
          <w:color w:val="auto"/>
          <w:sz w:val="24"/>
          <w:szCs w:val="24"/>
          <w:lang w:eastAsia="zh-CN"/>
        </w:rPr>
        <w:t>青岛友承信食品科技有限公司</w:t>
      </w:r>
      <w:r>
        <w:rPr>
          <w:color w:val="auto"/>
          <w:sz w:val="24"/>
          <w:szCs w:val="24"/>
        </w:rPr>
        <w:t>根据</w:t>
      </w:r>
      <w:r>
        <w:rPr>
          <w:rFonts w:hint="eastAsia"/>
          <w:color w:val="auto"/>
          <w:sz w:val="24"/>
          <w:szCs w:val="24"/>
          <w:lang w:eastAsia="zh-CN"/>
        </w:rPr>
        <w:t>“青岛友承信食品科技有限公司食品调味料、食品添加剂生产项目（一期）”</w:t>
      </w:r>
      <w:r>
        <w:rPr>
          <w:color w:val="auto"/>
          <w:sz w:val="24"/>
          <w:szCs w:val="24"/>
        </w:rPr>
        <w:t>竣工环境保护验收监测报告，并对照《建设项目竣工环境保护验收暂行办法》，严格依照国家有关法律法规、建设项目竣工环境保护验收技术规范/指南、本项目环境影响报告</w:t>
      </w:r>
      <w:r>
        <w:rPr>
          <w:rFonts w:hint="eastAsia"/>
          <w:color w:val="auto"/>
          <w:sz w:val="24"/>
          <w:szCs w:val="24"/>
        </w:rPr>
        <w:t>表</w:t>
      </w:r>
      <w:r>
        <w:rPr>
          <w:color w:val="auto"/>
          <w:sz w:val="24"/>
          <w:szCs w:val="24"/>
        </w:rPr>
        <w:t>和审批部门审批决定等要求，对本项目进行验收，提出意见如下：</w:t>
      </w:r>
    </w:p>
    <w:p>
      <w:pPr>
        <w:spacing w:line="440" w:lineRule="exact"/>
        <w:ind w:firstLine="482" w:firstLineChars="200"/>
        <w:rPr>
          <w:b/>
          <w:color w:val="auto"/>
          <w:sz w:val="24"/>
          <w:szCs w:val="24"/>
        </w:rPr>
      </w:pPr>
      <w:r>
        <w:rPr>
          <w:b/>
          <w:color w:val="auto"/>
          <w:sz w:val="24"/>
          <w:szCs w:val="24"/>
        </w:rPr>
        <w:t>一、项目基本情况</w:t>
      </w:r>
    </w:p>
    <w:p>
      <w:pPr>
        <w:spacing w:line="440" w:lineRule="exact"/>
        <w:ind w:firstLine="480" w:firstLineChars="200"/>
        <w:rPr>
          <w:color w:val="auto"/>
          <w:sz w:val="24"/>
          <w:szCs w:val="24"/>
        </w:rPr>
      </w:pPr>
      <w:r>
        <w:rPr>
          <w:color w:val="auto"/>
          <w:sz w:val="24"/>
          <w:szCs w:val="24"/>
        </w:rPr>
        <w:t>（一）建设地点、规模、主要建设内容</w:t>
      </w:r>
    </w:p>
    <w:p>
      <w:pPr>
        <w:spacing w:line="440" w:lineRule="exact"/>
        <w:ind w:firstLine="480"/>
        <w:rPr>
          <w:rFonts w:hint="eastAsia"/>
          <w:color w:val="auto"/>
          <w:sz w:val="24"/>
          <w:szCs w:val="24"/>
          <w:lang w:eastAsia="zh-CN"/>
        </w:rPr>
      </w:pPr>
      <w:r>
        <w:rPr>
          <w:rFonts w:hint="eastAsia"/>
          <w:color w:val="auto"/>
          <w:sz w:val="24"/>
          <w:szCs w:val="24"/>
          <w:lang w:eastAsia="zh-CN"/>
        </w:rPr>
        <w:t>青岛友承信食品科技有限公司位于平度市店子镇永安路3号，租赁平度市通达粮油贸易有限公司2838.53平方米闲置厂房建设食品调味料、食品添加剂生产项目。项目新建，原拟总投资80万元，主要包括办公楼、车间、化验室、危险废物贮存间、成品库、原料库、外包装车间、包材库、环保设备间、杂物房和警卫室等，车间划分为粉状加工车间、粉状内包装车间、粉状配料间、更衣室、消毒室、膏油加工车间、膏油内包装车间和膏油配料间。购置混合机、粉碎机、搅拌机等设备19台/套。项目劳动定员10人，单班制，每班8h，年工作200d。建成后，年生产食品调味料50吨（固态调味料20吨、半固态调味料20吨、调味油10吨）食品添加剂100吨（粉状食品添加剂50吨、膏状食品添加剂10吨、油状食品添加剂40吨）。</w:t>
      </w:r>
    </w:p>
    <w:p>
      <w:pPr>
        <w:spacing w:line="440" w:lineRule="exact"/>
        <w:ind w:firstLine="480"/>
        <w:rPr>
          <w:rFonts w:hint="eastAsia"/>
          <w:lang w:eastAsia="zh-CN"/>
        </w:rPr>
      </w:pPr>
      <w:r>
        <w:rPr>
          <w:rFonts w:hint="eastAsia"/>
          <w:color w:val="auto"/>
          <w:sz w:val="24"/>
          <w:szCs w:val="24"/>
          <w:lang w:eastAsia="zh-CN"/>
        </w:rPr>
        <w:t>根据市场情况，企业分期建设，分期验收。一期工程总投资30万元，主要包括办公楼、车间、化验室、危险废物贮存间、成品库、原料库、外包装车间、包材库、环保设备间、杂物房和警卫室等，车间划分为粉状加工车间、粉状内包装车间、粉状配料间、更衣室、消毒室、膏油加工车间、膏油内包装车间和膏油配料间。购置混合机、粉碎机、搅拌机等设备13台/套。项目劳动定员8人，单班制，每班8h，年工作200d。建成后，年生产食品添加剂90吨（粉状食品添加剂50吨、油状食品添加剂40吨）。</w:t>
      </w:r>
    </w:p>
    <w:p>
      <w:pPr>
        <w:spacing w:line="440" w:lineRule="exact"/>
        <w:ind w:firstLine="480" w:firstLineChars="200"/>
        <w:rPr>
          <w:color w:val="auto"/>
          <w:sz w:val="24"/>
          <w:szCs w:val="24"/>
        </w:rPr>
      </w:pPr>
      <w:r>
        <w:rPr>
          <w:color w:val="auto"/>
          <w:sz w:val="24"/>
          <w:szCs w:val="24"/>
        </w:rPr>
        <w:t>（二）建设过程及环保审批情况</w:t>
      </w:r>
    </w:p>
    <w:p>
      <w:pPr>
        <w:spacing w:line="440" w:lineRule="exact"/>
        <w:ind w:firstLine="480" w:firstLineChars="200"/>
        <w:rPr>
          <w:rFonts w:hint="eastAsia"/>
          <w:color w:val="auto"/>
          <w:sz w:val="24"/>
          <w:szCs w:val="24"/>
        </w:rPr>
      </w:pPr>
      <w:r>
        <w:rPr>
          <w:rFonts w:hint="eastAsia"/>
          <w:color w:val="auto"/>
          <w:sz w:val="24"/>
          <w:szCs w:val="24"/>
        </w:rPr>
        <w:t>2017年9月，受我公司委托，青岛银燕环保科技研究所对本项目进行了环境影响评价，编制完成了《青岛友承信食品科技有限公司食品调味料、食品添加剂生产项目环境影响报告表暨大气环境影响专项报告》。</w:t>
      </w:r>
    </w:p>
    <w:p>
      <w:pPr>
        <w:spacing w:line="440" w:lineRule="exact"/>
        <w:ind w:firstLine="480" w:firstLineChars="200"/>
        <w:rPr>
          <w:rFonts w:hint="eastAsia"/>
          <w:color w:val="auto"/>
          <w:sz w:val="24"/>
          <w:szCs w:val="24"/>
        </w:rPr>
      </w:pPr>
      <w:r>
        <w:rPr>
          <w:rFonts w:hint="eastAsia"/>
          <w:color w:val="auto"/>
          <w:sz w:val="24"/>
          <w:szCs w:val="24"/>
        </w:rPr>
        <w:t>2017年11月16日，青岛市生态环境局平度分局以平环审﹝2017﹞164号文件对本项目环境影响报告表暨大气环境影响专项报告进行了批复。</w:t>
      </w:r>
    </w:p>
    <w:p>
      <w:pPr>
        <w:spacing w:line="440" w:lineRule="exact"/>
        <w:ind w:firstLine="480" w:firstLineChars="200"/>
        <w:rPr>
          <w:rFonts w:hint="eastAsia"/>
          <w:color w:val="auto"/>
          <w:sz w:val="24"/>
          <w:szCs w:val="24"/>
        </w:rPr>
      </w:pPr>
      <w:r>
        <w:rPr>
          <w:rFonts w:hint="eastAsia"/>
          <w:color w:val="auto"/>
          <w:sz w:val="24"/>
          <w:szCs w:val="24"/>
        </w:rPr>
        <w:t>2019年10月，一期项目开工建设，2019年11月建设完成。</w:t>
      </w:r>
    </w:p>
    <w:p>
      <w:pPr>
        <w:spacing w:line="440" w:lineRule="exact"/>
        <w:ind w:firstLine="480" w:firstLineChars="200"/>
        <w:rPr>
          <w:color w:val="auto"/>
          <w:sz w:val="24"/>
          <w:szCs w:val="24"/>
        </w:rPr>
      </w:pPr>
      <w:r>
        <w:rPr>
          <w:color w:val="auto"/>
          <w:sz w:val="24"/>
          <w:szCs w:val="24"/>
        </w:rPr>
        <w:t>（三）投资情况</w:t>
      </w:r>
    </w:p>
    <w:p>
      <w:pPr>
        <w:spacing w:line="440" w:lineRule="exact"/>
        <w:ind w:firstLine="480" w:firstLineChars="200"/>
        <w:rPr>
          <w:rFonts w:hint="eastAsia"/>
          <w:color w:val="auto"/>
          <w:sz w:val="24"/>
          <w:szCs w:val="24"/>
        </w:rPr>
      </w:pPr>
      <w:r>
        <w:rPr>
          <w:rFonts w:hint="eastAsia"/>
          <w:color w:val="auto"/>
          <w:sz w:val="24"/>
          <w:szCs w:val="24"/>
        </w:rPr>
        <w:t>本项目总投资30万元，其中环保投资7万元，环保投资占项目总投资的16.7%。</w:t>
      </w:r>
    </w:p>
    <w:p>
      <w:pPr>
        <w:spacing w:line="440" w:lineRule="exact"/>
        <w:ind w:firstLine="480" w:firstLineChars="200"/>
        <w:rPr>
          <w:color w:val="auto"/>
          <w:sz w:val="24"/>
          <w:szCs w:val="24"/>
        </w:rPr>
      </w:pPr>
      <w:r>
        <w:rPr>
          <w:color w:val="auto"/>
          <w:sz w:val="24"/>
          <w:szCs w:val="24"/>
        </w:rPr>
        <w:t>（四）验收范围</w:t>
      </w:r>
    </w:p>
    <w:p>
      <w:pPr>
        <w:spacing w:line="440" w:lineRule="exact"/>
        <w:ind w:firstLine="480" w:firstLineChars="200"/>
        <w:rPr>
          <w:color w:val="auto"/>
          <w:sz w:val="24"/>
          <w:szCs w:val="24"/>
        </w:rPr>
      </w:pPr>
      <w:r>
        <w:rPr>
          <w:color w:val="auto"/>
          <w:sz w:val="24"/>
          <w:szCs w:val="24"/>
        </w:rPr>
        <w:t>本次验收</w:t>
      </w:r>
      <w:r>
        <w:rPr>
          <w:rFonts w:hint="eastAsia"/>
          <w:color w:val="auto"/>
          <w:sz w:val="24"/>
          <w:szCs w:val="24"/>
        </w:rPr>
        <w:t>范围</w:t>
      </w:r>
      <w:r>
        <w:rPr>
          <w:color w:val="auto"/>
          <w:sz w:val="24"/>
          <w:szCs w:val="24"/>
        </w:rPr>
        <w:t>为</w:t>
      </w:r>
      <w:r>
        <w:rPr>
          <w:rFonts w:hint="eastAsia"/>
          <w:color w:val="auto"/>
          <w:sz w:val="24"/>
          <w:szCs w:val="24"/>
          <w:lang w:eastAsia="zh-CN"/>
        </w:rPr>
        <w:t>青岛友承信食品科技有限公司食品调味料、食品添加剂生产项目（一期）</w:t>
      </w:r>
      <w:r>
        <w:rPr>
          <w:color w:val="auto"/>
          <w:sz w:val="24"/>
          <w:szCs w:val="24"/>
        </w:rPr>
        <w:t>涉及到的内容。</w:t>
      </w:r>
    </w:p>
    <w:p>
      <w:pPr>
        <w:spacing w:line="440" w:lineRule="exact"/>
        <w:ind w:firstLine="482" w:firstLineChars="200"/>
        <w:rPr>
          <w:b/>
          <w:color w:val="auto"/>
          <w:sz w:val="24"/>
          <w:szCs w:val="24"/>
        </w:rPr>
      </w:pPr>
      <w:r>
        <w:rPr>
          <w:b/>
          <w:color w:val="auto"/>
          <w:sz w:val="24"/>
          <w:szCs w:val="24"/>
        </w:rPr>
        <w:t>二、项目变动情况</w:t>
      </w:r>
    </w:p>
    <w:p>
      <w:pPr>
        <w:spacing w:line="440" w:lineRule="exact"/>
        <w:ind w:firstLine="480" w:firstLineChars="200"/>
        <w:rPr>
          <w:color w:val="auto"/>
          <w:sz w:val="24"/>
          <w:szCs w:val="24"/>
        </w:rPr>
      </w:pPr>
      <w:r>
        <w:rPr>
          <w:rFonts w:hint="eastAsia"/>
          <w:color w:val="auto"/>
          <w:sz w:val="24"/>
          <w:szCs w:val="24"/>
        </w:rPr>
        <w:t>本项目实际建设情况与环评及批复要求无变动。</w:t>
      </w:r>
    </w:p>
    <w:p>
      <w:pPr>
        <w:spacing w:line="440" w:lineRule="exact"/>
        <w:ind w:firstLine="482" w:firstLineChars="200"/>
        <w:rPr>
          <w:b/>
          <w:color w:val="auto"/>
          <w:sz w:val="24"/>
          <w:szCs w:val="24"/>
        </w:rPr>
      </w:pPr>
      <w:r>
        <w:rPr>
          <w:b/>
          <w:color w:val="auto"/>
          <w:sz w:val="24"/>
          <w:szCs w:val="24"/>
        </w:rPr>
        <w:t>三、环境保护设施建设情况</w:t>
      </w:r>
    </w:p>
    <w:p>
      <w:pPr>
        <w:spacing w:line="440" w:lineRule="exact"/>
        <w:ind w:firstLine="480" w:firstLineChars="200"/>
        <w:rPr>
          <w:color w:val="auto"/>
          <w:sz w:val="24"/>
          <w:szCs w:val="24"/>
        </w:rPr>
      </w:pPr>
      <w:r>
        <w:rPr>
          <w:color w:val="auto"/>
          <w:sz w:val="24"/>
          <w:szCs w:val="24"/>
        </w:rPr>
        <w:t>（一）废水</w:t>
      </w:r>
    </w:p>
    <w:p>
      <w:pPr>
        <w:spacing w:line="440" w:lineRule="exact"/>
        <w:ind w:firstLine="480" w:firstLineChars="200"/>
        <w:rPr>
          <w:bCs/>
          <w:color w:val="auto"/>
          <w:sz w:val="24"/>
          <w:szCs w:val="24"/>
        </w:rPr>
      </w:pPr>
      <w:r>
        <w:rPr>
          <w:rFonts w:hint="eastAsia"/>
          <w:color w:val="auto"/>
          <w:sz w:val="24"/>
          <w:szCs w:val="24"/>
        </w:rPr>
        <w:t>项目废水主要为职工生活污水，经化粪池处理后定期清运作农肥。</w:t>
      </w:r>
    </w:p>
    <w:p>
      <w:pPr>
        <w:spacing w:line="440" w:lineRule="exact"/>
        <w:ind w:firstLine="480" w:firstLineChars="200"/>
        <w:rPr>
          <w:color w:val="auto"/>
          <w:sz w:val="24"/>
          <w:szCs w:val="24"/>
        </w:rPr>
      </w:pPr>
      <w:r>
        <w:rPr>
          <w:color w:val="auto"/>
          <w:sz w:val="24"/>
          <w:szCs w:val="24"/>
        </w:rPr>
        <w:t>（二）废气</w:t>
      </w:r>
    </w:p>
    <w:p>
      <w:pPr>
        <w:spacing w:line="440" w:lineRule="exact"/>
        <w:ind w:firstLine="480" w:firstLineChars="200"/>
        <w:rPr>
          <w:rFonts w:hint="eastAsia"/>
          <w:color w:val="auto"/>
          <w:sz w:val="24"/>
          <w:szCs w:val="24"/>
        </w:rPr>
      </w:pPr>
      <w:r>
        <w:rPr>
          <w:rFonts w:hint="eastAsia"/>
          <w:color w:val="auto"/>
          <w:sz w:val="24"/>
          <w:szCs w:val="24"/>
        </w:rPr>
        <w:t>有组织废气</w:t>
      </w:r>
    </w:p>
    <w:p>
      <w:pPr>
        <w:spacing w:line="440" w:lineRule="exact"/>
        <w:ind w:firstLine="480" w:firstLineChars="200"/>
        <w:rPr>
          <w:rFonts w:hint="eastAsia"/>
          <w:color w:val="auto"/>
          <w:sz w:val="24"/>
          <w:szCs w:val="24"/>
        </w:rPr>
      </w:pPr>
      <w:r>
        <w:rPr>
          <w:rFonts w:hint="eastAsia"/>
          <w:color w:val="auto"/>
          <w:sz w:val="24"/>
          <w:szCs w:val="24"/>
        </w:rPr>
        <w:t>企业并配套能够辐射整体车间的单独排风系统，在粉状食品添加剂配料、投料工位上方设集气罩，油状食品添加剂灌装过程产生的异味经收集，含尘废气与异味一起进入车间排风系统后，经一套脉冲布袋除尘+活性炭装置吸附处理后从15m高车间废气排气筒P1排放。</w:t>
      </w:r>
    </w:p>
    <w:p>
      <w:pPr>
        <w:spacing w:line="440" w:lineRule="exact"/>
        <w:ind w:firstLine="480" w:firstLineChars="200"/>
        <w:rPr>
          <w:rFonts w:hint="eastAsia"/>
          <w:color w:val="auto"/>
          <w:sz w:val="24"/>
          <w:szCs w:val="24"/>
        </w:rPr>
      </w:pPr>
      <w:r>
        <w:rPr>
          <w:rFonts w:hint="eastAsia"/>
          <w:color w:val="auto"/>
          <w:sz w:val="24"/>
          <w:szCs w:val="24"/>
        </w:rPr>
        <w:t>无组织废气</w:t>
      </w:r>
    </w:p>
    <w:p>
      <w:pPr>
        <w:spacing w:line="440" w:lineRule="exact"/>
        <w:ind w:firstLine="480" w:firstLineChars="200"/>
        <w:rPr>
          <w:rFonts w:hint="eastAsia"/>
          <w:color w:val="auto"/>
          <w:sz w:val="24"/>
          <w:szCs w:val="24"/>
        </w:rPr>
      </w:pPr>
      <w:r>
        <w:rPr>
          <w:rFonts w:hint="eastAsia"/>
          <w:color w:val="auto"/>
          <w:sz w:val="24"/>
          <w:szCs w:val="24"/>
        </w:rPr>
        <w:t>项目无组织废气主要为：生产中未经集气系统收集的粉尘，经车间直接无组织排放，企业通过加强生产管理来降低无组织废气的排放。</w:t>
      </w:r>
    </w:p>
    <w:p>
      <w:pPr>
        <w:spacing w:line="440" w:lineRule="exact"/>
        <w:ind w:firstLine="480" w:firstLineChars="200"/>
        <w:rPr>
          <w:color w:val="auto"/>
          <w:sz w:val="24"/>
          <w:szCs w:val="24"/>
        </w:rPr>
      </w:pPr>
      <w:r>
        <w:rPr>
          <w:color w:val="auto"/>
          <w:sz w:val="24"/>
          <w:szCs w:val="24"/>
        </w:rPr>
        <w:t>（三）噪声</w:t>
      </w:r>
    </w:p>
    <w:p>
      <w:pPr>
        <w:spacing w:line="440" w:lineRule="exact"/>
        <w:ind w:firstLine="480" w:firstLineChars="200"/>
        <w:rPr>
          <w:rFonts w:hint="eastAsia"/>
          <w:color w:val="auto"/>
          <w:sz w:val="24"/>
          <w:szCs w:val="24"/>
        </w:rPr>
      </w:pPr>
      <w:r>
        <w:rPr>
          <w:rFonts w:hint="eastAsia"/>
          <w:color w:val="auto"/>
          <w:sz w:val="24"/>
          <w:szCs w:val="24"/>
        </w:rPr>
        <w:t>本项目噪声主要为生产车间内的给料机、提升机、混合机和风机等设备的运行噪声。企业通过选用低噪声设备，合理布局，采取减振、消音、隔声等措施降低噪声的影响。</w:t>
      </w:r>
    </w:p>
    <w:p>
      <w:pPr>
        <w:spacing w:line="440" w:lineRule="exact"/>
        <w:ind w:firstLine="480" w:firstLineChars="200"/>
        <w:rPr>
          <w:color w:val="auto"/>
          <w:sz w:val="24"/>
          <w:szCs w:val="24"/>
        </w:rPr>
      </w:pPr>
      <w:r>
        <w:rPr>
          <w:color w:val="auto"/>
          <w:sz w:val="24"/>
          <w:szCs w:val="24"/>
        </w:rPr>
        <w:t>（四）固废</w:t>
      </w:r>
    </w:p>
    <w:p>
      <w:pPr>
        <w:spacing w:line="440" w:lineRule="exact"/>
        <w:ind w:firstLine="480" w:firstLineChars="200"/>
        <w:rPr>
          <w:rFonts w:hint="eastAsia"/>
          <w:color w:val="auto"/>
          <w:sz w:val="24"/>
          <w:szCs w:val="24"/>
          <w:lang w:val="en-US" w:eastAsia="zh-CN"/>
        </w:rPr>
      </w:pPr>
      <w:r>
        <w:rPr>
          <w:rFonts w:hint="eastAsia"/>
          <w:color w:val="auto"/>
          <w:sz w:val="24"/>
          <w:szCs w:val="24"/>
          <w:lang w:val="en-US" w:eastAsia="zh-CN"/>
        </w:rPr>
        <w:t>项目运营期固废主要有废包装材料和职工产生生活垃圾。</w:t>
      </w:r>
    </w:p>
    <w:p>
      <w:pPr>
        <w:spacing w:line="440" w:lineRule="exact"/>
        <w:ind w:firstLine="480" w:firstLineChars="200"/>
        <w:rPr>
          <w:rFonts w:hint="eastAsia"/>
          <w:color w:val="auto"/>
          <w:sz w:val="24"/>
          <w:szCs w:val="24"/>
          <w:lang w:val="en-US" w:eastAsia="zh-CN"/>
        </w:rPr>
      </w:pPr>
      <w:r>
        <w:rPr>
          <w:rFonts w:hint="eastAsia"/>
          <w:color w:val="auto"/>
          <w:sz w:val="24"/>
          <w:szCs w:val="24"/>
          <w:lang w:val="en-US" w:eastAsia="zh-CN"/>
        </w:rPr>
        <w:t>废包装材料属于一般工业固废，暂存于一般固废暂存处，定期由废品回收站回收利用。</w:t>
      </w:r>
    </w:p>
    <w:p>
      <w:pPr>
        <w:spacing w:line="440" w:lineRule="exact"/>
        <w:ind w:firstLine="480" w:firstLineChars="200"/>
        <w:rPr>
          <w:rFonts w:hint="eastAsia"/>
          <w:color w:val="auto"/>
          <w:sz w:val="24"/>
          <w:szCs w:val="24"/>
          <w:lang w:val="en-US" w:eastAsia="zh-CN"/>
        </w:rPr>
      </w:pPr>
      <w:r>
        <w:rPr>
          <w:rFonts w:hint="eastAsia"/>
          <w:color w:val="auto"/>
          <w:sz w:val="24"/>
          <w:szCs w:val="24"/>
          <w:lang w:val="en-US" w:eastAsia="zh-CN"/>
        </w:rPr>
        <w:t>生活垃圾由环卫部门定期清运。</w:t>
      </w:r>
    </w:p>
    <w:p>
      <w:pPr>
        <w:spacing w:line="440" w:lineRule="exact"/>
        <w:ind w:firstLine="480" w:firstLineChars="200"/>
        <w:rPr>
          <w:color w:val="auto"/>
          <w:sz w:val="24"/>
          <w:szCs w:val="24"/>
        </w:rPr>
      </w:pPr>
      <w:r>
        <w:rPr>
          <w:color w:val="auto"/>
          <w:sz w:val="24"/>
          <w:szCs w:val="24"/>
        </w:rPr>
        <w:t>（五）环境风险</w:t>
      </w:r>
    </w:p>
    <w:p>
      <w:pPr>
        <w:spacing w:line="440" w:lineRule="exact"/>
        <w:ind w:firstLine="480" w:firstLineChars="200"/>
        <w:rPr>
          <w:rFonts w:hint="eastAsia"/>
          <w:color w:val="auto"/>
          <w:sz w:val="24"/>
          <w:szCs w:val="24"/>
        </w:rPr>
      </w:pPr>
      <w:r>
        <w:rPr>
          <w:rFonts w:hint="eastAsia"/>
          <w:color w:val="auto"/>
          <w:sz w:val="24"/>
          <w:szCs w:val="24"/>
        </w:rPr>
        <w:t>本项目涉及的废气风险主要为原辅材料以及产品等存放处由于人为或自然灾害等原因，发生火灾和环保设施故障导致废气超标排放等环境污染事故。针对存在的环境风险，企业安排专业技术人员负责环保设施的日常维护和管理，并对环保设施定期监测确保污染物稳定达标排放，车间配置灭火器、消防栓等消防器材以预防环境污染事故发生。</w:t>
      </w:r>
    </w:p>
    <w:p>
      <w:pPr>
        <w:spacing w:line="440" w:lineRule="exact"/>
        <w:ind w:firstLine="482" w:firstLineChars="200"/>
        <w:rPr>
          <w:b/>
          <w:color w:val="auto"/>
          <w:sz w:val="24"/>
          <w:szCs w:val="24"/>
        </w:rPr>
      </w:pPr>
      <w:r>
        <w:rPr>
          <w:b/>
          <w:color w:val="auto"/>
          <w:sz w:val="24"/>
          <w:szCs w:val="24"/>
        </w:rPr>
        <w:t>四、环保措施调试效果</w:t>
      </w:r>
    </w:p>
    <w:p>
      <w:pPr>
        <w:spacing w:line="440" w:lineRule="exact"/>
        <w:ind w:firstLine="480" w:firstLineChars="200"/>
        <w:rPr>
          <w:color w:val="auto"/>
          <w:sz w:val="24"/>
          <w:szCs w:val="24"/>
        </w:rPr>
      </w:pPr>
      <w:r>
        <w:rPr>
          <w:rFonts w:hint="eastAsia"/>
          <w:color w:val="auto"/>
          <w:sz w:val="24"/>
          <w:szCs w:val="24"/>
          <w:lang w:eastAsia="zh-CN"/>
        </w:rPr>
        <w:t>青岛友承信食品科技有限公司</w:t>
      </w:r>
      <w:r>
        <w:rPr>
          <w:color w:val="auto"/>
          <w:sz w:val="24"/>
          <w:szCs w:val="24"/>
        </w:rPr>
        <w:t>验收监测报告表明，验收监测期间：</w:t>
      </w:r>
    </w:p>
    <w:p>
      <w:pPr>
        <w:spacing w:line="440" w:lineRule="exact"/>
        <w:ind w:firstLine="480" w:firstLineChars="200"/>
        <w:rPr>
          <w:rFonts w:hint="eastAsia"/>
          <w:color w:val="auto"/>
          <w:sz w:val="24"/>
          <w:szCs w:val="24"/>
        </w:rPr>
      </w:pPr>
      <w:r>
        <w:rPr>
          <w:rFonts w:hint="eastAsia"/>
          <w:color w:val="auto"/>
          <w:sz w:val="24"/>
          <w:szCs w:val="24"/>
        </w:rPr>
        <w:t>车间废气排气筒P1中颗粒物排放浓度满足《区域性大气污染物综合排放标准》（DB 37/2376-2019）表1中重点控制区大气污染物排放浓度限值要求；排放速率满足《大气污染物</w:t>
      </w:r>
      <w:bookmarkStart w:id="0" w:name="_GoBack"/>
      <w:bookmarkEnd w:id="0"/>
      <w:r>
        <w:rPr>
          <w:rFonts w:hint="eastAsia"/>
          <w:color w:val="auto"/>
          <w:sz w:val="24"/>
          <w:szCs w:val="24"/>
        </w:rPr>
        <w:t>综合排放标准》（GB 16297-1996）表2中二级标准；臭气浓度排放满足《恶臭污染物排放标准》（GB14554-93）表1排放标准。</w:t>
      </w:r>
    </w:p>
    <w:p>
      <w:pPr>
        <w:spacing w:line="440" w:lineRule="exact"/>
        <w:ind w:firstLine="480" w:firstLineChars="200"/>
        <w:rPr>
          <w:rFonts w:hint="eastAsia"/>
          <w:color w:val="auto"/>
          <w:sz w:val="24"/>
          <w:szCs w:val="24"/>
        </w:rPr>
      </w:pPr>
      <w:r>
        <w:rPr>
          <w:rFonts w:hint="eastAsia"/>
          <w:color w:val="auto"/>
          <w:sz w:val="24"/>
          <w:szCs w:val="24"/>
        </w:rPr>
        <w:t>无组织排放废气厂界监控点颗粒物满足《大气污染物综合排放标准》（GB16297-1996）表2无组织排放监控浓度限值要求；臭气浓度满足《恶臭污染物排放标准》（GB14554-93）表1中二级新建排放标准。</w:t>
      </w:r>
    </w:p>
    <w:p>
      <w:pPr>
        <w:spacing w:line="440" w:lineRule="exact"/>
        <w:ind w:firstLine="480" w:firstLineChars="200"/>
        <w:rPr>
          <w:color w:val="auto"/>
          <w:sz w:val="24"/>
          <w:szCs w:val="24"/>
        </w:rPr>
      </w:pPr>
      <w:r>
        <w:rPr>
          <w:color w:val="auto"/>
          <w:sz w:val="24"/>
          <w:szCs w:val="24"/>
        </w:rPr>
        <w:t>厂界昼夜噪声</w:t>
      </w:r>
      <w:r>
        <w:rPr>
          <w:rFonts w:hint="eastAsia"/>
          <w:color w:val="auto"/>
          <w:sz w:val="24"/>
          <w:szCs w:val="24"/>
        </w:rPr>
        <w:t>满足</w:t>
      </w:r>
      <w:r>
        <w:rPr>
          <w:color w:val="auto"/>
          <w:sz w:val="24"/>
          <w:szCs w:val="24"/>
        </w:rPr>
        <w:t>《工业企业厂界环境噪声排放标准》（GB12348-2008）表1中</w:t>
      </w:r>
      <w:r>
        <w:rPr>
          <w:rFonts w:hint="eastAsia"/>
          <w:color w:val="auto"/>
          <w:sz w:val="24"/>
          <w:szCs w:val="24"/>
          <w:lang w:val="en-US" w:eastAsia="zh-CN"/>
        </w:rPr>
        <w:t>2</w:t>
      </w:r>
      <w:r>
        <w:rPr>
          <w:color w:val="auto"/>
          <w:sz w:val="24"/>
          <w:szCs w:val="24"/>
        </w:rPr>
        <w:t>类标准。</w:t>
      </w:r>
    </w:p>
    <w:p>
      <w:pPr>
        <w:spacing w:line="440" w:lineRule="exact"/>
        <w:ind w:firstLine="482" w:firstLineChars="200"/>
        <w:rPr>
          <w:b/>
          <w:color w:val="auto"/>
          <w:sz w:val="24"/>
          <w:szCs w:val="24"/>
        </w:rPr>
      </w:pPr>
      <w:r>
        <w:rPr>
          <w:b/>
          <w:color w:val="auto"/>
          <w:sz w:val="24"/>
          <w:szCs w:val="24"/>
        </w:rPr>
        <w:t>五、验收结论</w:t>
      </w:r>
    </w:p>
    <w:p>
      <w:pPr>
        <w:spacing w:line="440" w:lineRule="exact"/>
        <w:ind w:firstLine="480" w:firstLineChars="200"/>
        <w:rPr>
          <w:color w:val="auto"/>
          <w:sz w:val="24"/>
          <w:szCs w:val="24"/>
        </w:rPr>
      </w:pPr>
      <w:r>
        <w:rPr>
          <w:color w:val="auto"/>
          <w:sz w:val="24"/>
          <w:szCs w:val="24"/>
        </w:rPr>
        <w:t>项目已按环评和批复要求完成建设，无重大变动，污染物达标排放，验收监测报告结论可信，验收合格。</w:t>
      </w:r>
    </w:p>
    <w:p>
      <w:pPr>
        <w:spacing w:line="440" w:lineRule="exact"/>
        <w:ind w:firstLine="482" w:firstLineChars="200"/>
        <w:rPr>
          <w:b/>
          <w:color w:val="auto"/>
          <w:sz w:val="24"/>
          <w:szCs w:val="24"/>
        </w:rPr>
      </w:pPr>
      <w:r>
        <w:rPr>
          <w:b/>
          <w:color w:val="auto"/>
          <w:sz w:val="24"/>
          <w:szCs w:val="24"/>
        </w:rPr>
        <w:t>六、后续要求</w:t>
      </w:r>
    </w:p>
    <w:p>
      <w:pPr>
        <w:spacing w:line="440" w:lineRule="exact"/>
        <w:ind w:firstLine="480" w:firstLineChars="200"/>
        <w:rPr>
          <w:color w:val="auto"/>
          <w:sz w:val="24"/>
          <w:szCs w:val="24"/>
        </w:rPr>
      </w:pPr>
      <w:r>
        <w:rPr>
          <w:color w:val="auto"/>
          <w:sz w:val="24"/>
          <w:szCs w:val="24"/>
        </w:rPr>
        <w:t>1、按照《排污单位自行监测技术指南-总则》(HJ819-2017)要求，自主组织进行污染源监测，并做好记录。</w:t>
      </w:r>
    </w:p>
    <w:p>
      <w:pPr>
        <w:spacing w:line="440" w:lineRule="exact"/>
        <w:ind w:firstLine="480" w:firstLineChars="200"/>
        <w:rPr>
          <w:color w:val="auto"/>
          <w:sz w:val="24"/>
          <w:szCs w:val="24"/>
        </w:rPr>
      </w:pPr>
      <w:r>
        <w:rPr>
          <w:color w:val="auto"/>
          <w:sz w:val="24"/>
          <w:szCs w:val="24"/>
        </w:rPr>
        <w:t>2、加强日常生产管理，减少地面杂散粉尘逸散：加强废气收集措施。</w:t>
      </w:r>
    </w:p>
    <w:p>
      <w:pPr>
        <w:spacing w:line="440" w:lineRule="exact"/>
        <w:ind w:firstLine="480" w:firstLineChars="200"/>
        <w:jc w:val="right"/>
        <w:rPr>
          <w:color w:val="auto"/>
          <w:sz w:val="24"/>
        </w:rPr>
      </w:pPr>
    </w:p>
    <w:p>
      <w:pPr>
        <w:spacing w:line="440" w:lineRule="exact"/>
        <w:ind w:firstLine="480" w:firstLineChars="200"/>
        <w:jc w:val="right"/>
        <w:rPr>
          <w:color w:val="auto"/>
          <w:sz w:val="24"/>
        </w:rPr>
      </w:pPr>
    </w:p>
    <w:p>
      <w:pPr>
        <w:spacing w:line="440" w:lineRule="exact"/>
        <w:ind w:firstLine="482" w:firstLineChars="200"/>
        <w:jc w:val="right"/>
        <w:rPr>
          <w:rFonts w:hint="eastAsia" w:eastAsia="宋体"/>
          <w:b/>
          <w:bCs/>
          <w:color w:val="auto"/>
          <w:sz w:val="24"/>
          <w:lang w:eastAsia="zh-CN"/>
        </w:rPr>
      </w:pPr>
      <w:r>
        <w:rPr>
          <w:rFonts w:hint="eastAsia"/>
          <w:b/>
          <w:bCs/>
          <w:color w:val="auto"/>
          <w:sz w:val="24"/>
          <w:lang w:eastAsia="zh-CN"/>
        </w:rPr>
        <w:t>青岛友承信食品科技有限公司</w:t>
      </w:r>
    </w:p>
    <w:p>
      <w:pPr>
        <w:spacing w:line="440" w:lineRule="exact"/>
        <w:ind w:firstLine="482" w:firstLineChars="200"/>
        <w:jc w:val="right"/>
        <w:rPr>
          <w:b/>
          <w:bCs/>
          <w:color w:val="auto"/>
          <w:sz w:val="24"/>
          <w:szCs w:val="24"/>
        </w:rPr>
      </w:pPr>
      <w:r>
        <w:rPr>
          <w:b/>
          <w:bCs/>
          <w:color w:val="auto"/>
          <w:sz w:val="24"/>
        </w:rPr>
        <w:t>202</w:t>
      </w:r>
      <w:r>
        <w:rPr>
          <w:rFonts w:hint="eastAsia"/>
          <w:b/>
          <w:bCs/>
          <w:color w:val="auto"/>
          <w:sz w:val="24"/>
        </w:rPr>
        <w:t>1</w:t>
      </w:r>
      <w:r>
        <w:rPr>
          <w:b/>
          <w:bCs/>
          <w:color w:val="auto"/>
          <w:sz w:val="24"/>
        </w:rPr>
        <w:t>年</w:t>
      </w:r>
      <w:r>
        <w:rPr>
          <w:rFonts w:hint="eastAsia"/>
          <w:b/>
          <w:bCs/>
          <w:color w:val="auto"/>
          <w:sz w:val="24"/>
          <w:lang w:val="en-US" w:eastAsia="zh-CN"/>
        </w:rPr>
        <w:t>4</w:t>
      </w:r>
      <w:r>
        <w:rPr>
          <w:b/>
          <w:bCs/>
          <w:color w:val="auto"/>
          <w:sz w:val="24"/>
        </w:rPr>
        <w:t>月</w:t>
      </w:r>
      <w:r>
        <w:rPr>
          <w:rFonts w:hint="eastAsia"/>
          <w:b/>
          <w:bCs/>
          <w:color w:val="auto"/>
          <w:sz w:val="24"/>
          <w:lang w:val="en-US" w:eastAsia="zh-CN"/>
        </w:rPr>
        <w:t>14</w:t>
      </w:r>
      <w:r>
        <w:rPr>
          <w:b/>
          <w:bCs/>
          <w:color w:val="auto"/>
          <w:sz w:val="24"/>
        </w:rPr>
        <w:t>日</w:t>
      </w:r>
    </w:p>
    <w:p>
      <w:pPr>
        <w:spacing w:line="440" w:lineRule="exact"/>
        <w:rPr>
          <w:color w:val="auto"/>
        </w:rPr>
      </w:pPr>
    </w:p>
    <w:p>
      <w:pPr>
        <w:spacing w:line="440" w:lineRule="exact"/>
        <w:rPr>
          <w:b/>
          <w:color w:val="auto"/>
          <w:sz w:val="32"/>
        </w:rPr>
      </w:pPr>
      <w:r>
        <w:rPr>
          <w:b/>
          <w:color w:val="auto"/>
          <w:sz w:val="32"/>
        </w:rPr>
        <w:br w:type="page"/>
      </w:r>
    </w:p>
    <w:p>
      <w:pPr>
        <w:spacing w:line="360" w:lineRule="auto"/>
        <w:rPr>
          <w:b/>
          <w:color w:val="auto"/>
          <w:sz w:val="36"/>
          <w:szCs w:val="36"/>
        </w:rPr>
      </w:pPr>
    </w:p>
    <w:p>
      <w:pPr>
        <w:spacing w:line="360" w:lineRule="auto"/>
        <w:rPr>
          <w:b/>
          <w:color w:val="auto"/>
          <w:sz w:val="36"/>
          <w:szCs w:val="36"/>
        </w:rPr>
      </w:pPr>
      <w:r>
        <w:rPr>
          <w:b/>
          <w:color w:val="auto"/>
          <w:sz w:val="36"/>
          <w:szCs w:val="36"/>
        </w:rPr>
        <w:t>附件：</w:t>
      </w:r>
    </w:p>
    <w:p>
      <w:pPr>
        <w:spacing w:line="276" w:lineRule="auto"/>
        <w:jc w:val="center"/>
        <w:rPr>
          <w:rFonts w:hint="eastAsia" w:eastAsia="宋体"/>
          <w:b/>
          <w:color w:val="auto"/>
          <w:sz w:val="32"/>
          <w:lang w:eastAsia="zh-CN"/>
        </w:rPr>
      </w:pPr>
      <w:r>
        <w:rPr>
          <w:rFonts w:hint="eastAsia"/>
          <w:b/>
          <w:color w:val="auto"/>
          <w:sz w:val="32"/>
          <w:lang w:eastAsia="zh-CN"/>
        </w:rPr>
        <w:t>青岛友承信食品科技有限公司</w:t>
      </w:r>
    </w:p>
    <w:p>
      <w:pPr>
        <w:spacing w:line="276" w:lineRule="auto"/>
        <w:jc w:val="center"/>
        <w:rPr>
          <w:rFonts w:hint="eastAsia" w:eastAsia="宋体"/>
          <w:color w:val="auto"/>
          <w:lang w:eastAsia="zh-CN"/>
        </w:rPr>
      </w:pPr>
      <w:r>
        <w:rPr>
          <w:rFonts w:hint="eastAsia"/>
          <w:b/>
          <w:color w:val="auto"/>
          <w:sz w:val="32"/>
          <w:lang w:eastAsia="zh-CN"/>
        </w:rPr>
        <w:t>食品调味料、食品添加剂生产项目（一期）</w:t>
      </w:r>
    </w:p>
    <w:p>
      <w:pPr>
        <w:spacing w:line="276" w:lineRule="auto"/>
        <w:jc w:val="center"/>
        <w:rPr>
          <w:color w:val="auto"/>
        </w:rPr>
      </w:pPr>
      <w:r>
        <w:rPr>
          <w:b/>
          <w:color w:val="auto"/>
          <w:sz w:val="32"/>
        </w:rPr>
        <w:t>竣工环境保护验收人员信息</w:t>
      </w:r>
    </w:p>
    <w:p>
      <w:pPr>
        <w:spacing w:line="360" w:lineRule="auto"/>
        <w:ind w:firstLine="482" w:firstLineChars="200"/>
        <w:rPr>
          <w:b/>
          <w:color w:val="auto"/>
          <w:sz w:val="24"/>
          <w:szCs w:val="24"/>
        </w:rPr>
      </w:pPr>
    </w:p>
    <w:tbl>
      <w:tblPr>
        <w:tblStyle w:val="12"/>
        <w:tblW w:w="4879" w:type="pct"/>
        <w:jc w:val="center"/>
        <w:tblLayout w:type="fixed"/>
        <w:tblCellMar>
          <w:top w:w="0" w:type="dxa"/>
          <w:left w:w="51" w:type="dxa"/>
          <w:bottom w:w="0" w:type="dxa"/>
          <w:right w:w="51" w:type="dxa"/>
        </w:tblCellMar>
      </w:tblPr>
      <w:tblGrid>
        <w:gridCol w:w="614"/>
        <w:gridCol w:w="1176"/>
        <w:gridCol w:w="995"/>
        <w:gridCol w:w="2360"/>
        <w:gridCol w:w="1028"/>
        <w:gridCol w:w="2038"/>
      </w:tblGrid>
      <w:tr>
        <w:tblPrEx>
          <w:tblCellMar>
            <w:top w:w="0" w:type="dxa"/>
            <w:left w:w="51" w:type="dxa"/>
            <w:bottom w:w="0" w:type="dxa"/>
            <w:right w:w="51" w:type="dxa"/>
          </w:tblCellMar>
        </w:tblPrEx>
        <w:trPr>
          <w:trHeight w:val="964" w:hRule="atLeast"/>
          <w:jc w:val="center"/>
        </w:trPr>
        <w:tc>
          <w:tcPr>
            <w:tcW w:w="17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b/>
                <w:bCs/>
                <w:snapToGrid w:val="0"/>
                <w:color w:val="auto"/>
                <w:kern w:val="0"/>
                <w:sz w:val="24"/>
                <w:szCs w:val="24"/>
              </w:rPr>
              <w:t>验收组</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b/>
                <w:bCs/>
                <w:snapToGrid w:val="0"/>
                <w:color w:val="auto"/>
                <w:kern w:val="0"/>
                <w:sz w:val="24"/>
                <w:szCs w:val="24"/>
              </w:rPr>
              <w:t>姓  名</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b/>
                <w:bCs/>
                <w:snapToGrid w:val="0"/>
                <w:color w:val="auto"/>
                <w:kern w:val="0"/>
                <w:sz w:val="24"/>
                <w:szCs w:val="24"/>
              </w:rPr>
              <w:t>单      位</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b/>
                <w:bCs/>
                <w:snapToGrid w:val="0"/>
                <w:color w:val="auto"/>
                <w:kern w:val="0"/>
                <w:sz w:val="24"/>
                <w:szCs w:val="24"/>
              </w:rPr>
              <w:t>职务/</w:t>
            </w:r>
          </w:p>
          <w:p>
            <w:pPr>
              <w:adjustRightInd w:val="0"/>
              <w:snapToGrid w:val="0"/>
              <w:jc w:val="center"/>
              <w:rPr>
                <w:color w:val="auto"/>
                <w:sz w:val="24"/>
                <w:szCs w:val="24"/>
              </w:rPr>
            </w:pPr>
            <w:r>
              <w:rPr>
                <w:b/>
                <w:bCs/>
                <w:snapToGrid w:val="0"/>
                <w:color w:val="auto"/>
                <w:kern w:val="0"/>
                <w:sz w:val="24"/>
                <w:szCs w:val="24"/>
              </w:rPr>
              <w:t>职称</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b/>
                <w:bCs/>
                <w:snapToGrid w:val="0"/>
                <w:color w:val="auto"/>
                <w:kern w:val="0"/>
                <w:sz w:val="24"/>
                <w:szCs w:val="24"/>
              </w:rPr>
              <w:t>签  名</w:t>
            </w:r>
          </w:p>
        </w:tc>
      </w:tr>
      <w:tr>
        <w:tblPrEx>
          <w:tblCellMar>
            <w:top w:w="0" w:type="dxa"/>
            <w:left w:w="51" w:type="dxa"/>
            <w:bottom w:w="0" w:type="dxa"/>
            <w:right w:w="51" w:type="dxa"/>
          </w:tblCellMar>
        </w:tblPrEx>
        <w:trPr>
          <w:trHeight w:val="964" w:hRule="atLeast"/>
          <w:jc w:val="center"/>
        </w:trPr>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snapToGrid w:val="0"/>
                <w:color w:val="auto"/>
                <w:kern w:val="0"/>
                <w:sz w:val="24"/>
                <w:szCs w:val="24"/>
              </w:rPr>
              <w:t>组长</w:t>
            </w:r>
          </w:p>
        </w:tc>
        <w:tc>
          <w:tcPr>
            <w:tcW w:w="11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snapToGrid w:val="0"/>
                <w:color w:val="auto"/>
                <w:kern w:val="0"/>
                <w:sz w:val="24"/>
                <w:szCs w:val="24"/>
              </w:rPr>
              <w:t>建设单位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cs="Times New Roman"/>
                <w:snapToGrid w:val="0"/>
                <w:color w:val="auto"/>
                <w:kern w:val="0"/>
                <w:sz w:val="24"/>
                <w:szCs w:val="24"/>
              </w:rPr>
            </w:pP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cs="Times New Roman"/>
                <w:snapToGrid w:val="0"/>
                <w:color w:val="auto"/>
                <w:kern w:val="0"/>
                <w:sz w:val="24"/>
                <w:szCs w:val="24"/>
              </w:rPr>
            </w:pPr>
            <w:r>
              <w:rPr>
                <w:rFonts w:hint="eastAsia" w:cs="Times New Roman"/>
                <w:snapToGrid w:val="0"/>
                <w:color w:val="auto"/>
                <w:kern w:val="0"/>
                <w:sz w:val="24"/>
                <w:szCs w:val="24"/>
                <w:lang w:eastAsia="zh-CN"/>
              </w:rPr>
              <w:t>青岛友承信食品科技有限公司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snapToGrid w:val="0"/>
                <w:color w:val="auto"/>
                <w:kern w:val="0"/>
                <w:sz w:val="24"/>
                <w:szCs w:val="24"/>
              </w:rPr>
              <w:t>成员</w:t>
            </w:r>
          </w:p>
        </w:tc>
        <w:tc>
          <w:tcPr>
            <w:tcW w:w="11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r>
              <w:rPr>
                <w:snapToGrid w:val="0"/>
                <w:color w:val="auto"/>
                <w:kern w:val="0"/>
                <w:sz w:val="24"/>
                <w:szCs w:val="24"/>
              </w:rPr>
              <w:t>验收报告编制单位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cs="Times New Roman"/>
                <w:snapToGrid w:val="0"/>
                <w:color w:val="auto"/>
                <w:kern w:val="0"/>
                <w:sz w:val="24"/>
                <w:szCs w:val="24"/>
              </w:rPr>
            </w:pP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cs="Times New Roman"/>
                <w:snapToGrid w:val="0"/>
                <w:color w:val="auto"/>
                <w:kern w:val="0"/>
                <w:sz w:val="24"/>
                <w:szCs w:val="24"/>
              </w:rPr>
            </w:pPr>
            <w:r>
              <w:rPr>
                <w:rFonts w:hint="eastAsia" w:cs="Times New Roman"/>
                <w:snapToGrid w:val="0"/>
                <w:color w:val="auto"/>
                <w:kern w:val="0"/>
                <w:sz w:val="24"/>
                <w:szCs w:val="24"/>
                <w:lang w:eastAsia="zh-CN"/>
              </w:rPr>
              <w:t>青岛友承信食品科技有限公司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continue"/>
            <w:tcBorders>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r>
              <w:rPr>
                <w:snapToGrid w:val="0"/>
                <w:color w:val="auto"/>
                <w:kern w:val="0"/>
                <w:sz w:val="24"/>
                <w:szCs w:val="24"/>
              </w:rPr>
              <w:t>监测单位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r>
              <w:rPr>
                <w:rFonts w:hint="eastAsia"/>
                <w:bCs/>
                <w:snapToGrid w:val="0"/>
                <w:color w:val="auto"/>
                <w:kern w:val="0"/>
                <w:sz w:val="24"/>
                <w:szCs w:val="24"/>
              </w:rPr>
              <w:t>青岛中旭检测检验有限公司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napToGrid w:val="0"/>
                <w:color w:val="auto"/>
                <w:kern w:val="0"/>
                <w:sz w:val="24"/>
                <w:szCs w:val="24"/>
              </w:rPr>
            </w:pP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 w:val="24"/>
                <w:szCs w:val="24"/>
              </w:rPr>
            </w:pPr>
          </w:p>
        </w:tc>
      </w:tr>
    </w:tbl>
    <w:p>
      <w:pPr>
        <w:spacing w:line="276" w:lineRule="auto"/>
        <w:ind w:firstLine="562" w:firstLineChars="200"/>
        <w:rPr>
          <w:b/>
          <w:color w:val="auto"/>
          <w:sz w:val="28"/>
        </w:rPr>
      </w:pPr>
    </w:p>
    <w:p>
      <w:pPr>
        <w:spacing w:line="276" w:lineRule="auto"/>
        <w:ind w:firstLine="482" w:firstLineChars="200"/>
        <w:jc w:val="right"/>
        <w:rPr>
          <w:b/>
          <w:bCs/>
          <w:color w:val="auto"/>
          <w:sz w:val="24"/>
        </w:rPr>
      </w:pPr>
      <w:r>
        <w:rPr>
          <w:b/>
          <w:bCs/>
          <w:color w:val="auto"/>
          <w:sz w:val="24"/>
        </w:rPr>
        <w:t>202</w:t>
      </w:r>
      <w:r>
        <w:rPr>
          <w:rFonts w:hint="eastAsia"/>
          <w:b/>
          <w:bCs/>
          <w:color w:val="auto"/>
          <w:sz w:val="24"/>
        </w:rPr>
        <w:t>1</w:t>
      </w:r>
      <w:r>
        <w:rPr>
          <w:b/>
          <w:bCs/>
          <w:color w:val="auto"/>
          <w:sz w:val="24"/>
        </w:rPr>
        <w:t>年</w:t>
      </w:r>
      <w:r>
        <w:rPr>
          <w:rFonts w:hint="eastAsia"/>
          <w:b/>
          <w:bCs/>
          <w:color w:val="auto"/>
          <w:sz w:val="24"/>
          <w:lang w:val="en-US" w:eastAsia="zh-CN"/>
        </w:rPr>
        <w:t>4</w:t>
      </w:r>
      <w:r>
        <w:rPr>
          <w:b/>
          <w:bCs/>
          <w:color w:val="auto"/>
          <w:sz w:val="24"/>
        </w:rPr>
        <w:t>月</w:t>
      </w:r>
      <w:r>
        <w:rPr>
          <w:rFonts w:hint="eastAsia"/>
          <w:b/>
          <w:bCs/>
          <w:color w:val="auto"/>
          <w:sz w:val="24"/>
          <w:lang w:val="en-US" w:eastAsia="zh-CN"/>
        </w:rPr>
        <w:t>12</w:t>
      </w:r>
      <w:r>
        <w:rPr>
          <w:b/>
          <w:bCs/>
          <w:color w:val="auto"/>
          <w:sz w:val="24"/>
        </w:rPr>
        <w:t>日</w:t>
      </w:r>
    </w:p>
    <w:sectPr>
      <w:pgSz w:w="11906" w:h="16838"/>
      <w:pgMar w:top="1440" w:right="1797" w:bottom="1440" w:left="1797" w:header="709" w:footer="709"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02697EB9"/>
    <w:rsid w:val="0C4640A4"/>
    <w:rsid w:val="38DE4AD5"/>
    <w:rsid w:val="42013EBF"/>
    <w:rsid w:val="42131991"/>
    <w:rsid w:val="5F8264F4"/>
    <w:rsid w:val="6E354EDB"/>
    <w:rsid w:val="6EBF369B"/>
    <w:rsid w:val="6FB07AAC"/>
    <w:rsid w:val="73EE5A6D"/>
    <w:rsid w:val="7D255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4">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2">
    <w:name w:val="Body Text First Indent 2"/>
    <w:basedOn w:val="3"/>
    <w:next w:val="6"/>
    <w:link w:val="24"/>
    <w:qFormat/>
    <w:uiPriority w:val="99"/>
    <w:pPr>
      <w:ind w:firstLine="420" w:firstLineChars="200"/>
    </w:pPr>
  </w:style>
  <w:style w:type="paragraph" w:styleId="3">
    <w:name w:val="Body Text Indent"/>
    <w:basedOn w:val="1"/>
    <w:next w:val="4"/>
    <w:link w:val="23"/>
    <w:qFormat/>
    <w:uiPriority w:val="99"/>
    <w:pPr>
      <w:spacing w:after="120"/>
      <w:ind w:left="420" w:leftChars="200"/>
    </w:pPr>
  </w:style>
  <w:style w:type="paragraph" w:styleId="4">
    <w:name w:val="Body Text First Indent"/>
    <w:basedOn w:val="5"/>
    <w:link w:val="20"/>
    <w:qFormat/>
    <w:uiPriority w:val="99"/>
    <w:pPr>
      <w:ind w:firstLine="420" w:firstLineChars="100"/>
    </w:pPr>
    <w:rPr>
      <w:szCs w:val="21"/>
    </w:rPr>
  </w:style>
  <w:style w:type="paragraph" w:styleId="5">
    <w:name w:val="Body Text"/>
    <w:basedOn w:val="1"/>
    <w:link w:val="19"/>
    <w:qFormat/>
    <w:uiPriority w:val="99"/>
    <w:pPr>
      <w:spacing w:after="120"/>
    </w:pPr>
  </w:style>
  <w:style w:type="paragraph" w:customStyle="1" w:styleId="6">
    <w:name w:val="Default"/>
    <w:next w:val="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7">
    <w:name w:val="annotation text"/>
    <w:basedOn w:val="1"/>
    <w:link w:val="21"/>
    <w:qFormat/>
    <w:uiPriority w:val="0"/>
    <w:pPr>
      <w:jc w:val="left"/>
    </w:pPr>
  </w:style>
  <w:style w:type="paragraph" w:styleId="8">
    <w:name w:val="Balloon Text"/>
    <w:basedOn w:val="1"/>
    <w:link w:val="22"/>
    <w:qFormat/>
    <w:uiPriority w:val="99"/>
    <w:rPr>
      <w:sz w:val="18"/>
      <w:szCs w:val="18"/>
    </w:rPr>
  </w:style>
  <w:style w:type="paragraph" w:styleId="9">
    <w:name w:val="footer"/>
    <w:basedOn w:val="1"/>
    <w:link w:val="17"/>
    <w:qFormat/>
    <w:uiPriority w:val="99"/>
    <w:pPr>
      <w:tabs>
        <w:tab w:val="center" w:pos="4153"/>
        <w:tab w:val="right" w:pos="8306"/>
      </w:tabs>
      <w:snapToGrid w:val="0"/>
      <w:jc w:val="left"/>
    </w:pPr>
    <w:rPr>
      <w:rFonts w:ascii="Calibri" w:hAnsi="Calibri" w:cs="宋体"/>
      <w:sz w:val="18"/>
      <w:szCs w:val="18"/>
    </w:rPr>
  </w:style>
  <w:style w:type="paragraph" w:styleId="10">
    <w:name w:val="header"/>
    <w:basedOn w:val="1"/>
    <w:link w:val="16"/>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11">
    <w:name w:val="annotation subject"/>
    <w:basedOn w:val="7"/>
    <w:next w:val="7"/>
    <w:link w:val="25"/>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qFormat/>
    <w:uiPriority w:val="99"/>
    <w:rPr>
      <w:sz w:val="21"/>
      <w:szCs w:val="21"/>
    </w:rPr>
  </w:style>
  <w:style w:type="character" w:customStyle="1" w:styleId="16">
    <w:name w:val="页眉 Char"/>
    <w:basedOn w:val="14"/>
    <w:link w:val="10"/>
    <w:qFormat/>
    <w:uiPriority w:val="99"/>
    <w:rPr>
      <w:sz w:val="18"/>
      <w:szCs w:val="18"/>
    </w:rPr>
  </w:style>
  <w:style w:type="character" w:customStyle="1" w:styleId="17">
    <w:name w:val="页脚 Char"/>
    <w:basedOn w:val="14"/>
    <w:link w:val="9"/>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正文文本 Char"/>
    <w:basedOn w:val="14"/>
    <w:link w:val="5"/>
    <w:qFormat/>
    <w:uiPriority w:val="99"/>
    <w:rPr>
      <w:rFonts w:ascii="Times New Roman" w:hAnsi="Times New Roman" w:eastAsia="宋体" w:cs="Times New Roman"/>
      <w:szCs w:val="20"/>
    </w:rPr>
  </w:style>
  <w:style w:type="character" w:customStyle="1" w:styleId="20">
    <w:name w:val="正文首行缩进 Char"/>
    <w:basedOn w:val="19"/>
    <w:link w:val="4"/>
    <w:qFormat/>
    <w:uiPriority w:val="99"/>
    <w:rPr>
      <w:rFonts w:ascii="Times New Roman" w:hAnsi="Times New Roman" w:eastAsia="宋体" w:cs="Times New Roman"/>
      <w:szCs w:val="21"/>
    </w:rPr>
  </w:style>
  <w:style w:type="character" w:customStyle="1" w:styleId="21">
    <w:name w:val="批注文字 Char"/>
    <w:basedOn w:val="14"/>
    <w:link w:val="7"/>
    <w:qFormat/>
    <w:uiPriority w:val="0"/>
    <w:rPr>
      <w:rFonts w:ascii="Times New Roman" w:hAnsi="Times New Roman" w:eastAsia="宋体" w:cs="Times New Roman"/>
      <w:szCs w:val="20"/>
    </w:rPr>
  </w:style>
  <w:style w:type="character" w:customStyle="1" w:styleId="22">
    <w:name w:val="批注框文本 Char"/>
    <w:basedOn w:val="14"/>
    <w:link w:val="8"/>
    <w:qFormat/>
    <w:uiPriority w:val="99"/>
    <w:rPr>
      <w:rFonts w:ascii="Times New Roman" w:hAnsi="Times New Roman" w:eastAsia="宋体" w:cs="Times New Roman"/>
      <w:sz w:val="18"/>
      <w:szCs w:val="18"/>
    </w:rPr>
  </w:style>
  <w:style w:type="character" w:customStyle="1" w:styleId="23">
    <w:name w:val="正文文本缩进 Char"/>
    <w:basedOn w:val="14"/>
    <w:link w:val="3"/>
    <w:qFormat/>
    <w:uiPriority w:val="99"/>
    <w:rPr>
      <w:rFonts w:ascii="Times New Roman" w:hAnsi="Times New Roman" w:cs="Times New Roman"/>
      <w:szCs w:val="20"/>
    </w:rPr>
  </w:style>
  <w:style w:type="character" w:customStyle="1" w:styleId="24">
    <w:name w:val="正文首行缩进 2 Char"/>
    <w:basedOn w:val="23"/>
    <w:link w:val="2"/>
    <w:qFormat/>
    <w:uiPriority w:val="99"/>
    <w:rPr>
      <w:rFonts w:ascii="Times New Roman" w:hAnsi="Times New Roman" w:cs="Times New Roman"/>
      <w:szCs w:val="20"/>
    </w:rPr>
  </w:style>
  <w:style w:type="character" w:customStyle="1" w:styleId="25">
    <w:name w:val="批注主题 Char"/>
    <w:basedOn w:val="21"/>
    <w:link w:val="11"/>
    <w:qFormat/>
    <w:uiPriority w:val="99"/>
    <w:rPr>
      <w:rFonts w:ascii="Times New Roman" w:hAnsi="Times New Roman" w:eastAsia="宋体" w:cs="Times New Roman"/>
      <w:b/>
      <w:bCs/>
      <w:szCs w:val="20"/>
    </w:rPr>
  </w:style>
  <w:style w:type="paragraph" w:customStyle="1" w:styleId="26">
    <w:name w:val="文字描述"/>
    <w:basedOn w:val="1"/>
    <w:link w:val="27"/>
    <w:qFormat/>
    <w:uiPriority w:val="0"/>
    <w:pPr>
      <w:adjustRightInd w:val="0"/>
      <w:snapToGrid w:val="0"/>
      <w:spacing w:line="360" w:lineRule="auto"/>
      <w:ind w:firstLine="200" w:firstLineChars="200"/>
    </w:pPr>
    <w:rPr>
      <w:spacing w:val="-2"/>
      <w:sz w:val="24"/>
      <w:szCs w:val="24"/>
    </w:rPr>
  </w:style>
  <w:style w:type="character" w:customStyle="1" w:styleId="27">
    <w:name w:val="文字描述 Char"/>
    <w:link w:val="26"/>
    <w:qFormat/>
    <w:uiPriority w:val="0"/>
    <w:rPr>
      <w:rFonts w:ascii="Times New Roman" w:hAnsi="Times New Roman" w:cs="Times New Roman"/>
      <w:spacing w:val="-2"/>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青岛谱尼测试有限公司</Company>
  <Pages>4</Pages>
  <Words>1952</Words>
  <Characters>2169</Characters>
  <Paragraphs>103</Paragraphs>
  <TotalTime>0</TotalTime>
  <ScaleCrop>false</ScaleCrop>
  <LinksUpToDate>false</LinksUpToDate>
  <CharactersWithSpaces>2192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cp:lastPrinted>2020-06-15T10:19:00Z</cp:lastPrinted>
  <dcterms:modified xsi:type="dcterms:W3CDTF">2021-04-14T05:06:18Z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